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D-3633/2023 vom 5. Juli 2023</w:t>
      </w:r>
    </w:p>
    <w:p>
      <w:r>
        <w:t>Bundesverwaltungsgericht, 2023-07-05, DE</w:t>
      </w:r>
    </w:p>
    <w:p>
      <w:r>
        <w:rPr>
          <w:b/>
        </w:rPr>
        <w:t xml:space="preserve">Quelle: </w:t>
      </w:r>
      <w:r>
        <w:t>https://mcp.opencaselaw.ch/entscheid/bvger_D-3633_2023</w:t>
      </w:r>
    </w:p>
    <w:p>
      <w:r>
        <w:t>FR: TAF D-3633/2023 du 5 juillet 2023</w:t>
      </w:r>
    </w:p>
    <w:p>
      <w:r>
        <w:t>IT: TAF D-3633/2023 del 5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daher einzutreten (Art. 108 Abs. 3 AsylG;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von der Vorinstanz verfügte Anpassung des Geburtsdatums im ZEMIS (vgl. Dispositivziffer 2 der angefochtenen Verfügung) wurde vorliegend nicht angefochten (vgl. Sachverhalt Bst. L). Ein diesbezüglicher Beschwerdewille ergibt sich auch nicht aus der Begründung der Rechtsmitteleingabe. Unter Berücksichtigung der diesbezüglich noch laufenden Beschwerdefrist wird folglich davon ausgegangen, die vorliegende Beschwerde richte sich ausschliesslich gegen den verfügten Nichteintretensentscheid.</w:t>
      </w:r>
    </w:p>
    <w:p>
      <w:r>
        <w:rPr>
          <w:b/>
        </w:rPr>
        <w:t>E. 3</w:t>
      </w:r>
    </w:p>
    <w:p>
      <w:r>
        <w:t>Die Beschwerde erweist sich als offensichtlich unbegründet, weshalb sie im Verfahren einzelrichterlicher Zuständigkeit mit Zustimmung eines zweiten Richters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4.2</w:t>
      </w:r>
    </w:p>
    <w:p>
      <w:r>
        <w:t>Gemäss Art. 3 Abs. 1 Dublin-III-VO wird jeder Asylantrag von einem einzigen Mitgliedstaat geprüft, der nach den Kriterien des Kapitels III als zuständiger Staat bestimmt wird. Im Rahmen eines Wiederaufnahmeverfahrens (engl.: take back) wie im vorliegenden Fall findet grundsätzlich keine (erneute) Zuständigkeitsprüfung nach Kapitel III statt (vgl. zum Ganzen BVGE 2017 VI/5 E. 6.2 und 8.2.1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 Die Dublin-III-VO räumt den Schutzsuchenden kein Recht ein, den ihren Antrag prüfenden Staat selber auszuwählen (vgl. BVGE 2010/45 E. 8.3).</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4.6</w:t>
      </w:r>
    </w:p>
    <w:p>
      <w:r>
        <w:t>Im Falle einer unbegleiteten minderjährigen Person ohne familiäre Anknüpfungspunkte (zu einem anderen Mitgliedstaat) ist gemäss Art. 8 Abs. 4 Dublin-III-VO der Staat zuständig, in welchem jene einen Antrag auf internationalen Schutz gestellt hat. Als minderjährig gilt ein Drittstaatsangehöriger unter 18 Jahren (Art. 2 Bst. i Dublin-III-VO; Art. 1a Bst. d AsylV 1). Unbegleitete Minderjährige sind vom Wiederaufnahmeverfahren ausgenommen (vgl. Christian Filzwieser/Andrea Sprung, Dublin-III-Verordnung, Das europäische Asylzuständigkeitssystem, 2014, K15 f. zu Art. 8 Dublin-III-VO, m.w.H.).</w:t>
      </w:r>
    </w:p>
    <w:p>
      <w:r>
        <w:rPr>
          <w:b/>
        </w:rPr>
        <w:t>E. 5.1</w:t>
      </w:r>
    </w:p>
    <w:p>
      <w:r>
        <w:t>In der angefochtenen Verfügung wird die behauptete Minderjährigkeit des Beschwerdeführers betreffend ausgeführt, die in Kopie eingereichten Dokumente, nämlich die Tazkira und der Impfausweis, würden keinerlei überprüfbaren Sicherheitsmerkmale aufweisen und seien erfahrungsgemäss ohne grösseren Aufwand auch anderweitig beschaffbar. Deshalb würden sie keinerlei handfeste Beweiskraft entfalten. Da der Beschwerdeführer im Asylverfahren zudem überaus vage und widersprüchliche altersspezifische Angaben gemacht habe und sein Äusseres subjektiv ein deutlich höheres Alter als das angegebene suggeriere, habe er die angebliche Minderjährigkeit nicht glaubhaft machen können. Das rechtsmedizinische Gutachten habe ergeben, dass er die Volljährigkeit mit an Sicherheit grenzender Wahrscheinlichkeit erreicht habe und das Mindestalter (...) Jahre betrage.</w:t>
      </w:r>
    </w:p>
    <w:p>
      <w:r>
        <w:rPr>
          <w:b/>
        </w:rPr>
        <w:t>E. 5.2</w:t>
      </w:r>
    </w:p>
    <w:p>
      <w:r>
        <w:t>In der Beschwerde wird bestritten, dass keine Indizien für das Vorliegen der Minderjährigkeit des Beschwerdeführers präsentiert worden seien, welche geeignet wären, das Resultat in einer Gesamtbetrachtung zu seinen Gunsten zu ändern. Die behauptete Minderjährigkeit sei zumindest mit dem Einreichen der Tazkira sowie des Impfausweises glaubhaft gemacht worden. Das rechtsmedizinische Gutachten sei hinsichtlich des Befundes der Ossifikation sehr ungenau. Ausserdem sei diese Beurteilung widersprüchlich, da ein Mindestalter von (...) Jahren festgestellt werde, obwohl die vollständige Ossifikation bei Knaben normalerweise ab einem minimalen Alter von 16.1 Jahren vorliege. Die zahnärztliche Untersuchung ergebe sodann ein Alter von 16 Jahren (Mittelwert; betreffend Zähne 1 bis 7 im 3. Quadranten) beziehungsweise 17 respektive 16.9 Jahren (Mindestalter; betreffend Weisheitszähne). Dem Fazit des Gutachtens könne deshalb nicht gefolgt werden.</w:t>
      </w:r>
    </w:p>
    <w:p>
      <w:r>
        <w:rPr>
          <w:b/>
        </w:rPr>
        <w:t>E. 5.3</w:t>
      </w:r>
    </w:p>
    <w:p>
      <w:r>
        <w:t>Die Altersangaben des Beschwerdeführers sind übereinstimmend mit den diesbezüglichen Erwägungen des SEM, denen in der Beschwerde nichts Stichhaltiges entgegengehalten wird, als vage und widersprüchlich zu qualifizieren. Sodann kann der Beschwerdeführer seine Identität und die von ihm behauptete Minderjährigkeit nicht durch Vorlage eines diesbezüglich aussagekräftigen Dokuments beweisen. Ein solches wäre insbesondere ein gültiges Reise- oder Identitätspapier (Pass oder Identitätskarte). Afghanische Tazkiras - jedenfalls in der vom Beschwerdeführer vorgelegten veralteten Form - werden lediglich gestützt auf Parteiangaben ausgestellt, weshalb alleine damit praxisgemäss nicht ein rechtsgenüglicher Nachweis der Identität erbracht werden kann (vgl. BVGE 2019 I/6 E. 6.2; 2013/30 E. 4.2.2). Auch der lediglich als Kopie eingereichte Impfausweis stellt kein rechtsgenügliches Identitätspapier dar.</w:t>
      </w:r>
    </w:p>
    <w:p>
      <w:r>
        <w:rPr>
          <w:b/>
        </w:rPr>
        <w:t>E. 5.4.1</w:t>
      </w:r>
    </w:p>
    <w:p>
      <w:r>
        <w:t>Nach der Rechtsprechung des Bundesverwaltungsgerichts stellen medizinische Altersabklärungen - je nach Ergebnis - unterschiedlich zu gewichtende Indizien für das Alter einer Person dar. Die Schlüsselbein- respektive Skelettaltersanalyse und die zahnärztliche Untersuchung sind dabei grundsätzlich, anders als die Handknochenanalyse und die ärztliche Untersuchung, zum Beweis geeignet. Das Bundesverwaltungsgericht hat in dieser Hinsicht Grundsätze zur Gewichtung der Resultate der Untersuchungen definiert (eingehend hierzu: BVGE 2018 VI/3 E. 4.2.1 f.; vgl. Urteile des BVGer A-4775/2020 vom 31. März 2021 E. 6.2.4 und A-1455/2020 vom 13. Oktober 2020 E. 6.1.1). Darüber hinaus sind die üblichen verfahrensrechtlichen Regeln der Beweiswürdigung zu beachten, wobei es umso weniger auf eine Gesamtwürdigung der Beweise ankommt, je stärker die medizinischen Abklärungen ein Indiz für das Vorliegen des streitigen Alters darstellen (vgl. BVGE 2018 VI/3 E 4.2.2 f., 2019 I/6 E. 6.1 ff.).</w:t>
      </w:r>
    </w:p>
    <w:p>
      <w:r>
        <w:rPr>
          <w:b/>
        </w:rPr>
        <w:t>E. 5.4.2</w:t>
      </w:r>
    </w:p>
    <w:p>
      <w:r>
        <w:t>Das Altersgutachten des IRM der Universität B._______ vom 1. Juni 2023 kommt in Zusammenschau der Befunde zum Ergebnis, dass der Beschwerdeführer mit an Sicherheit grenzender Wahrscheinlichkeit das 18. Lebensjahr vollendet und die Volljährigkeit erreicht hat, wobei von einem Mindestalter von (...) Jahren auszugehen sei. Der radiologische Befund der linken Hand entspreche dem Referenzbild eines (...)-jährigen Jungen. Der Befund der Ossifikation der medialen Schlüsselbeinepiphysen entspreche einem Stadium 3c nach Kellinghaus et al., was bei Jungen einem mittleren Alter von 22.9 ± 1.8 Jahren entspreche. Das minimale Alter, bei welchem das vorliegende Stadium noch habe gesehen werden können, liege - je nach Studie - bei (...) beziehungsweise (...) Jahren. Das maximale Alter liege bei 30 Jahren. Die zahnärztliche Untersuchung an den Zähnen 1 bis 7 im 3. Quadranten habe einen vollständigen Abschluss des Wurzelwachstums ergeben, welcher nach Demirjian ab einem Alter von 16 Jahren zur Beobachtung komme. Da in der angegebenen Studie keine Streuungsmasse angegeben seien, könne dies nur als Mittelwert und nicht als Minimum gewertet werden. An den 3. Molaren (Weisheitszähnen) habe sich ein Mineralisationsstadium von «H» nach Demirjian gefunden, was einem vollständigen Abschluss des Wurzelwachstums entspreche. Es könne daher nur noch ein Mindestalter angegeben werden, welches bei 17 beziehungsweise 16.9 Jahren für eine männliche Population aus Europa liege. Eine Referenzstudie für eine männliche Population aus Afghanistan liege nicht vor (vgl. SEM-Akte [...]-29/6).</w:t>
      </w:r>
    </w:p>
    <w:p>
      <w:r>
        <w:rPr>
          <w:b/>
        </w:rPr>
        <w:t>E. 5.4.3</w:t>
      </w:r>
    </w:p>
    <w:p>
      <w:r>
        <w:t>Gestützt auf BVGE 2018 VI/3 ist eine medizinische Altersabklärung als sehr starkes Indiz für die Volljährigkeit zu werten, wenn das Mindestalter bei der Schlüsselbein- respektive Skelettaltersanalyse und der zahnärztlichen Untersuchung über 18 Jahren liegt. Liegt das Mindestalter bei der Schlüsselbein- respektive Skelettaltersanalyse oder der zahnärztlichen Untersuchung über 18 Jahren und überlappen sich die anhand der beiden Analysen ergebenden Altersspannen, ist dies ein starkes Indiz für die Volljährigkeit. Lediglich ein schwaches Indiz für die Volljährigkeit liegt vor, wenn das Mindestalter bei der Schlüsselbein- respektive Skelettaltersanalyse oder der zahnärztlichen Untersuchung über 18 Jahren liegt und sich die anhand der beiden Analysen ergebenden Altersspannen nicht überlappen, wobei es dafür eine plausible medizinische Erklärung gibt. Ein sehr schwaches oder gar fragliches Indiz für die Volljährigkeit ist gegeben, wenn das Mindestalter bei der Schlüsselbein- respektive Skelettaltersanalyse oder der zahnärztlichen Untersuchung unter 18 Jahren liegt und die sich anhand der beiden Analysen ergebenden Altersspannen nicht überlappen, ohne dass es dafür eine plausible medizinische Erklärung gibt. Wenn das Mindestalter bei der Schlüsselbein- respektive Skelettaltersanalyse und der zahnärztlichen Untersuchung unter 18 Jahren liegt, lässt sich - ähnlich wie bei der Handknochenaltersanalyse - anhand der medizinischen Altersabklärung keine Aussage zur Minder- respektive Volljährigkeit einer Person machen (selbst wenn das Maximalalter bei beiden oder einer Methode darüber liegt; vgl. a.a.O. E. 4.2.2).</w:t>
      </w:r>
    </w:p>
    <w:p>
      <w:r>
        <w:rPr>
          <w:b/>
        </w:rPr>
        <w:t>E. 5.4.4</w:t>
      </w:r>
    </w:p>
    <w:p>
      <w:r>
        <w:t>Gemäss dem Gutachten des IRM der Universität B._______, welches von ärztlichen Fachpersonen nach wissenschaftlichen Kriterien verfasst worden ist und den Empfehlungen der Arbeitsgemeinschaft für Forensische Altersdiagnostik der Deutschen Gesellschaft für Rechtsmedizin (AGFAD) folgt, liegt das Mindestalter bei der Schlüsselbeinanalyse über 18 Jahren ([...] beziehungsweise [...] Jahre), bei der zahnärztlichen Untersuchung unter 18 Jahren. Da bei der Mineralisation der Weisheitszähne nur ein Mindestalter von 17 beziehungsweise 16.9 Jahren festgestellt wurde und die zahnärztliche Untersuchung der Zähne 1 bis 7 im 3. Quadranten lediglich einen Mittelwert von 16 Jahren ergab, überlappen sich die Altersspannen zwar insofern nicht, als dass im Rahmen dieser Untersuchung keine konkrete Altersspannen angegeben werden. Die Ergebnisse stehen demgegenüber entgegen der in der Beschwerde geäusserten Ansicht auch nicht im Widerspruch zueinander. Angesichts des Fazits des Gutachtens, insbesondere des Befundes am Schlüsselbein, ist das Altersgutachten, welches zwar nicht vollumfänglich ins Schema der erwähnten bundesverwaltungsgerichtlichen Rechtsprechung passt, im Rahmen der Gesamtwürdigung als Indiz für die Volljährigkeit des Beschwerdeführers zu berücksichtigen.</w:t>
      </w:r>
    </w:p>
    <w:p>
      <w:r>
        <w:rPr>
          <w:b/>
        </w:rPr>
        <w:t>E. 5.5</w:t>
      </w:r>
    </w:p>
    <w:p>
      <w:r>
        <w:t>In einer Gesamtwürdigung ist festzuhalten, dass die vom Beschwerdeführer behauptete Minderjährigkeit weder belegt noch glaubhaft ist. Art. 8 Abs. 4 Dublin-III-VO fällt daher nicht als Kriterium zur Bestimmung des für das Asylverfahren zuständigen Mitgliedstaats in Betracht.</w:t>
      </w:r>
    </w:p>
    <w:p>
      <w:r>
        <w:rPr>
          <w:b/>
        </w:rPr>
        <w:t>E. 6</w:t>
      </w:r>
    </w:p>
    <w:p>
      <w:r>
        <w:t>Vorliegend ergab ein Abgleich der Fingerabdrücke des Beschwerdeführers mit der Eurodac-Datenbank, dass dieser am 6. März 2023 in Österreich um Asyl ersucht hatte. Das SEM ersuchte deshalb die österreichischen Behörden um Wiederaufnahme des Beschwerdeführers. Nachdem diese dem Ersuchen um Wiederaufnahme nach der Remonstration des SEM zugestimmt haben, ist die Zuständigkeit Österreichs zur Durchführung des Asylverfahrens grundsätzlich gegeben.</w:t>
      </w:r>
    </w:p>
    <w:p>
      <w:r>
        <w:rPr>
          <w:b/>
        </w:rPr>
        <w:t>E. 7.1</w:t>
      </w:r>
    </w:p>
    <w:p>
      <w:r>
        <w:t>Wie die Vorinstanz zutreffend festgehalten hat, gibt es keine Gründe für die Annahme, das Asylverfahren und die Aufnahmebedingungen für Asylsuchende in Österreich würden systemische Schwachstellen im Sinne von Art. 3 Abs. 2 zweiter und dritter Satz Dublin-III-VO aufweisen, die eine Gefahr einer unmenschlichen oder entwürdigenden Behandlung im Sinne des Art. 4 der EU-Grundrechtecharta mit sich bringen würden (vgl. hierzu statt vieler Urteil des BVGer D-2668/2023 vom 9. Juni 2023 E. 7.2).</w:t>
      </w:r>
    </w:p>
    <w:p>
      <w:r>
        <w:rPr>
          <w:b/>
        </w:rPr>
        <w:t>E. 7.2</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Des Weiteren darf die Schweiz davon ausgehen, dieser Staat anerkenne und schütze die Rechte,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7.3</w:t>
      </w:r>
    </w:p>
    <w:p>
      <w:r>
        <w:t>Unter diesen Umständen ist die Anwendbarkeit von Art. 3 Abs. 2 Dublin-III-VO nicht gerechtfertigt.</w:t>
      </w:r>
    </w:p>
    <w:p>
      <w:r>
        <w:rPr>
          <w:b/>
        </w:rPr>
        <w:t>E. 8.1</w:t>
      </w:r>
    </w:p>
    <w:p>
      <w:r>
        <w:t>Im Weiteren hat der Beschwerdeführer kein konkretes und ernsthaftes Risiko dargetan, dass die österreichischen Behörden in seinem Fall den erwähnten völkerrechtlichen Verpflichtungen nicht nachkommen würden. Sodann liegen keine Hinweise dafür vor, dass die Behandlung seines Asylgesuchs mangelhaft vorgenommen würde. Den Akten sind ferner auch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er nicht geltend gemacht, die ihn bei einer Rückführung erwartenden Bedingungen in Österreich seien derart schlecht, dass sie zu einer Verletzung von Art. 4 der EU-Grundrechtecharta, Art. 3 EMRK oder Art. 3 FoK führen könnten. Der Beschwerdeführer hat weiter keine konkreten Hinweise für die Annahme dargelegt, Österreich würde ihm dauerhaft die ihm gemäss Aufnahmerichtlinie zustehenden minimalen Lebensbedingungen vorenthalten. Bei einer allfälligen vorübergehenden Einschränkung könnte er sich im Übrigen nötigenfalls an die österreichischen Behörden wenden und die ihm zustehenden Aufnahmebedingungen auf dem Rechtsweg einfordern (vgl. Art. 26 Aufnahmerichtlinie).</w:t>
      </w:r>
    </w:p>
    <w:p>
      <w:r>
        <w:rPr>
          <w:b/>
        </w:rPr>
        <w:t>E. 8.2</w:t>
      </w:r>
    </w:p>
    <w:p>
      <w:r>
        <w:t>Zusammenfassend ist kein Grund für eine zwingende Anwendung der Ermessensklausel von Art. 17 Dublin-III-VO ersichtlich. Auch ist den Akten nicht zu entnehmen, dass das SEM sein Ermessen bei der Prüfung von allfälligen Überstellungshindernissen im Sinne von Art. 29a Abs. 3 AsylV 1 nicht korrekt ausgeübt hätte.</w:t>
      </w:r>
    </w:p>
    <w:p>
      <w:r>
        <w:rPr>
          <w:b/>
        </w:rPr>
        <w:t>E. 9</w:t>
      </w:r>
    </w:p>
    <w:p>
      <w:r>
        <w:t>Die Vorinstanz ist demnach zu Recht in Anwendung von Art. 31a Abs. 1 Bst. b AsylG auf das Asylgesuch des Beschwerdeführers nicht eingetreten und hat - weil er nicht im Besitz einer gültigen Aufenthalts- oder Niederlassungsbewilligung ist - in Anwendung von Art. 44 AsylG die Überstellung nach Österreich angeordnet (Art. 32 Bst. a AsylV 1).</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Die Gesuche um Gewährung der aufschiebenden Wirkung und um Verzicht auf die Erhebung eines Kostenvorschusses werden mit dem vorliegenden Urteil gegenstandslos.</w:t>
      </w:r>
    </w:p>
    <w:p>
      <w:r>
        <w:rPr>
          <w:b/>
        </w:rPr>
        <w:t>E. 12</w:t>
      </w:r>
    </w:p>
    <w:p>
      <w:r>
        <w:t>Das Gesuch um Gewährung der unentgeltlichen Prozessführung ist abzuweisen, da die Begehren - wie sich aus den vorstehenden Erwägungen ergibt - als aussichtslos zu bezeichnen sind (Art. 65 Abs. 1 VwVG).</w:t>
      </w:r>
    </w:p>
    <w:p>
      <w:r>
        <w:rPr>
          <w:b/>
        </w:rPr>
        <w:t>E. 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