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D-3632/2014 vom 5. August 2014</w:t>
      </w:r>
    </w:p>
    <w:p>
      <w:r>
        <w:t>Bundesverwaltungsgericht, 2014-08-05, DE</w:t>
      </w:r>
    </w:p>
    <w:p>
      <w:r>
        <w:rPr>
          <w:b/>
        </w:rPr>
        <w:t xml:space="preserve">Quelle: </w:t>
      </w:r>
      <w:r>
        <w:t>https://mcp.opencaselaw.ch/entscheid/bvger_D-3632_2014</w:t>
      </w:r>
    </w:p>
    <w:p>
      <w:r>
        <w:t>FR: TAF D-3632/2014 du 5 août 2014</w:t>
      </w:r>
    </w:p>
    <w:p>
      <w:r>
        <w:t>IT: TAF D-3632/2014 del 5 agosto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der nachfolgenden Erwägungen - ein­zu­tre­ten.</w:t>
      </w:r>
    </w:p>
    <w:p>
      <w:r>
        <w:rPr>
          <w:b/>
        </w:rPr>
        <w:t>E. 1.4</w:t>
      </w:r>
    </w:p>
    <w:p>
      <w:r>
        <w:t>In der Beschwerde wird sinngemäss geltend gemacht, das BFM sei anzuweisen, den Beschwerdeführenden die Einreise in die Schweiz in analoger Anwendung der Weisung vom 4. September 2013 zu bewilligen. Da es sich beim asylrechtlichen Auslandverfahren und beim Visumverfahren um unterschiedliche Verfahren mit unterschiedlichen Verfahrensmoda­litäten handelt und das Dispositiv der angefochtenen Verfügung nur ersteres umfasst, stellt dieses Rechtsbegehren eine unzulässige Erweiterung des Verfahrensgegen­stan­­des dar. Somit ist auf diesen sinngemässen Antrag nicht ein­­zu­tre­ten.</w:t>
      </w:r>
    </w:p>
    <w:p>
      <w:r>
        <w:rPr>
          <w:b/>
        </w:rPr>
        <w:t>E. 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In Anwendung von Art. 111a Abs. 1 AsylG wird vorliegend auf die Durchführung eines Schriftenwechsels verzichtet.</w:t>
      </w:r>
    </w:p>
    <w:p>
      <w:r>
        <w:rPr>
          <w:b/>
        </w:rPr>
        <w:t>E. 3</w:t>
      </w:r>
    </w:p>
    <w:p>
      <w:r>
        <w:t>Die Kognition des Bundesverwaltungsgerichts und die Rügemöglichkeiten richten sich nach Art. 106 Abs. 1 AsylG.</w:t>
      </w:r>
    </w:p>
    <w:p>
      <w:r>
        <w:rPr>
          <w:b/>
        </w:rPr>
        <w:t>E. 4</w:t>
      </w:r>
    </w:p>
    <w:p>
      <w:r>
        <w:t>Für Asylgesuche, die - wie vorliegend - im Ausland vor Inkrafttreten der Änderung des Asylgesetzes vom 28. September 2012 gestellt worden sind, gelten die Art. 12, 19, 20, 41 Abs. 2, 52 und 68 AsylG in der bisherigen Fas­sung (vgl. Übergangsbestimmung zur Änderung vom 28. Sep­tem­ber 2012).</w:t>
      </w:r>
    </w:p>
    <w:p>
      <w:r>
        <w:rPr>
          <w:b/>
        </w:rPr>
        <w:t>E. 5.1</w:t>
      </w:r>
    </w:p>
    <w:p>
      <w:r>
        <w:t>Ein Asylgesuch kann gemäss aArt. 19 Abs. 1 AsylG im Ausland bei einer schweizerischen Vertretung gestellt werden, die es mit einem Bericht an das BFM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(aArt. 10 Abs. 2 AsylV 1).</w:t>
      </w:r>
    </w:p>
    <w:p>
      <w:r>
        <w:rPr>
          <w:b/>
        </w:rPr>
        <w:t>E. 5.2</w:t>
      </w:r>
    </w:p>
    <w:p>
      <w:r>
        <w:t>Der Umstand, dass die Asylgesuche der Beschwerdeführenden nicht entsprechend dem Wortlaut in aArt. 19 Abs. 1 und aArt. 20 AsylG bei einer schweizerischen Vertretung, sondern direkt beim BFM eingereicht wurden, ist nicht massgebend (vgl. BVGE 2011/39 E. 3, mit weiteren Hinweisen). Insofern wurden daher die vorliegenden Asylgesuche zu Recht als Asylgesuche aus dem Ausland anhand genommen.</w:t>
      </w:r>
    </w:p>
    <w:p>
      <w:r>
        <w:rPr>
          <w:b/>
        </w:rPr>
        <w:t>E. 6.1</w:t>
      </w:r>
    </w:p>
    <w:p>
      <w:r>
        <w:t>Das Bundesamt bewilligt Asylsuchenden die Einreise in die Schweiz zur Abklärung des Sachverhalts, wenn ihnen nicht zugemutet werden kann, im Wohnsitz- oder Aufenthaltsstaat zu bleiben oder in ein anderes Land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w:t>
      </w:r>
    </w:p>
    <w:p>
      <w:r>
        <w:rPr>
          <w:b/>
        </w:rPr>
        <w:t>E. 6.2</w:t>
      </w:r>
    </w:p>
    <w:p>
      <w:r>
        <w:t>Das BFM kann einer Person, die sich im Ausland befindet, Asyl - und damit auch die Einreise in die Schweiz - verweigern, wenn sie keine Verfolgung glaubhaft machen kann (Art. 3 und 7 AsylG) oder wenn ihr zuzumuten ist, sich in einem Drittstaat um Aufnahme zu bemühen (aArt. 52 Abs. 2 AsylG).</w:t>
      </w:r>
    </w:p>
    <w:p>
      <w:r>
        <w:rPr>
          <w:b/>
        </w:rPr>
        <w:t>E. 6.3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7.1</w:t>
      </w:r>
    </w:p>
    <w:p>
      <w:r>
        <w:t>Die Beschwerdebegründung baut zu einem wesentlichen Teil auf der Behauptung auf, dass die Beschwerdeführenden nach G._______ zurück­ge­kehrt seien. Es wurden aber keinerlei Beweismittel eingereicht, die diese Behauptung belegen würden. Auch wird in der Beschwerde nicht näher erläutert, weshalb sich die Beschwer­deführenden "gezwungen" sahen, nach Syrien zurückzukehren. Es ist daher davon auszugehen, dass sie sich nach wie vor in der Türkei aufhalten. Für diese Annahme spricht im Übrigen auch die Überlegung, dass tatsäch­lich ver­folgte Personen in der Regel nicht freiwillig aus einem siche­ren Dritt­­staat in ihren Verfolgerstaat zurückkehren. Eine Rückkehr der Beschwerdeführenden nach Syrien erschiene somit nur plausibel, wenn sie nicht (mehr) befürchten müssten, dort einer ge­zielt gegen sie gerichteten Verfolgung ausgesetzt zu sein.</w:t>
      </w:r>
    </w:p>
    <w:p>
      <w:r>
        <w:rPr>
          <w:b/>
        </w:rPr>
        <w:t>E. 7.2</w:t>
      </w:r>
    </w:p>
    <w:p>
      <w:r>
        <w:t>Bezüglich der Möglichkeit der Schutzgewährung durch die Türkei kann auf die ausführlichen Erwägungen des BFM in der angefochtenen Ver­­fü­gung verwiesen werden, denen auf Beschwerdeebene nichts respek­tive nichts Substanzielles entgegen­ge­halten wird. Sodann ist bei der Prüfung der Frage, ob der Verbleib am Aufenthaltsort zugemutet werden kann, der Um­­stand in Betracht zu ziehen, dass - entgegen der in der Beschwer­de vertretenen Ansicht - sich die Beschwerdeführenden als Kurden in der Türkei in einem Kulturraum befinden, der dem ihren bezüglich Sprache und Religion ähnlich ist. Die Vertrautheit mit dem Kulturraum ist denn auch höher zu werten als die Tatsache, dass die Eltern und Geschwister des Beschwerdeführers in der Schweiz leben und sich hier bereits gut in die Arbeitswelt haben integrieren können. Die Beschwerdeführenden sind nach dem Gesagten nicht auf den Schutz der Schweiz angewiesen, weil es ihnen zumutbar ist, den Schutz des Drittstaates - vorliegend die Türkei - in Anspruch zu nehmen.</w:t>
      </w:r>
    </w:p>
    <w:p>
      <w:r>
        <w:rPr>
          <w:b/>
        </w:rPr>
        <w:t>E. 7.3</w:t>
      </w:r>
    </w:p>
    <w:p>
      <w:r>
        <w:t>Das BFM hat den Beschwerdeführenden somit zu Recht die Einreise in die Schweiz verweigert und ihre Asylgesuche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9.1</w:t>
      </w:r>
    </w:p>
    <w:p>
      <w:r>
        <w:t>Mit dem vorliegenden Entscheid in der Hauptsache ist das Gesuch um Verzicht auf die Erhebung eines Kostenvorschusses gegenstandslos geworden.</w:t>
      </w:r>
    </w:p>
    <w:p>
      <w:r>
        <w:rPr>
          <w:b/>
        </w:rPr>
        <w:t>E. 9.2</w:t>
      </w:r>
    </w:p>
    <w:p>
      <w:r>
        <w:t>Das mit der Beschwerde gestellte Gesuch um Gewährung der unentgeltlichen Rechtspflege im Sinne von Art. 65 Abs. 1 VwVG ist abzuweisen, da die Begehren - wie sich aus den vorstehenden Erwägungen ergibt - als aussichtslos zu bezeichnen sind. Bei diesem Ausgang des Verfahrens hätten die Beschwerdeführenden die Kosten des vorliegenden Verfahrens zu tragen (Art. 63 Abs. 1 und 5 VwVG). Gestützt auf Art. 6 Bst. b des Reglements vom 21. Februar 2008 über die Kosten und Entschädigungen vor dem Bundesverwaltungsgericht (VGKE, SR 173.320.2) ist auf die Auferlegung der Verfahrenskosten jedoch zu verzichten.</w:t>
      </w:r>
    </w:p>
    <w:p>
      <w:r>
        <w:rPr>
          <w:b/>
        </w:rPr>
        <w:t>E. 9.3</w:t>
      </w:r>
    </w:p>
    <w:p>
      <w:r>
        <w:t>In der Beschwerde wird sodann um die Bestellung eines amtlichen Rechtsbeistandes gestützt auf Art. 110a AsylG ersucht. Diese Bestimmung ist jedoch in Verfahren nach aArt. 20 AsylG (Asylgesuch aus dem Ausland und Einreisebewilligung) nicht anzuwenden, da es der ratio legis widerspricht, wenn eine erst seit dem 1. Februar 2014 geltende Ausweitung des Rechtsschutzes (Art. 110a AsylG) auf Verfahren angewandt wird, welche per 29. September 2012 aufgehoben wurden. Folglich gilt vorliegend bezüg­lich des Gesuchs um unentgeltliche Rechtsverbeiständung die Bestim­mung des allgemeinen Verwaltungsrechts (Art. 65 Abs. 2 VwVG). Nach dem vorstehend Gesagten (vgl. E. 9.2) ist das Gesuch um Gewährung der unentgeltlichen Rechtspflege im Sinne von Art. 65 Abs. 2 VwVG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