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D-3630/2014 vom 14. August 2014</w:t>
      </w:r>
    </w:p>
    <w:p>
      <w:r>
        <w:t>Bundesverwaltungsgericht, 2014-08-14, DE</w:t>
      </w:r>
    </w:p>
    <w:p>
      <w:r>
        <w:rPr>
          <w:b/>
        </w:rPr>
        <w:t xml:space="preserve">Quelle: </w:t>
      </w:r>
      <w:r>
        <w:t>https://mcp.opencaselaw.ch/entscheid/bvger_D-3630_2014</w:t>
      </w:r>
    </w:p>
    <w:p>
      <w:r>
        <w:t>FR: TAF D-3630/2014 du 14 août 2014</w:t>
      </w:r>
    </w:p>
    <w:p>
      <w:r>
        <w:t>IT: TAF D-3630/2014 del 14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Auf einen Schriftenwechsel wird gestützt auf Art. 111a Abs. 1 AsylG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Personendaten von Asylsuchenden, anerkannten Flüchtlingen und Schutzbedürftigen dürfen dem Heimat- oder Herkunftsstaat nicht bekannt gegeben werden, wenn dadurch die betroffene Person oder ihre Angehörigen gefährdet würden; über ein Asylgesuch dürfen keine Anga­ben gemacht werden (Art. 97 Abs. 1 AsylG). Die für die Organisation der Ausreise zuständige Behörde kann jedoch zwecks Beschaffung der für den Vollzug der Wegweisungsverfügung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In casu hat das BFM das Asylgesuch des Beschwerdeführers mit Verfügung vom 6. Juni 2014 abgelehnt, weshalb formal die Voraussetzungen gemäss Art. 97 Abs. 2 AsylG erfüllt sind. Im Übrigen deutet aufgrund der dem Bundesverwaltungsgericht derzeit vorliegenden Akten nichts auf eine konkrete Gefährdung des Beschwerdeführers durch eine allfällige Bekanntgabe der in Art. 97 Abs. 3 Bstn. a-c AsylG erwähnten Personendaten gegenüber der zuständigen ausländischen Behörde hin. Folglich ist der Antrag, die zuständige Vollzugsbehörde sei vorsorglich anzuweisen, jegliche Datenweitergabe an den Heimatstaat bis zum Entscheid über die Beschwerde zu sistieren, abzuweisen. Aus den dem Gericht vorliegenden Akten geht nicht hervor, dass die Vorinstanz den Beschwerdeführer betreffende Daten an den Hei­matstaat weitergegeben hat, weshalb auf das Eventualbegehren, eine allenfalls bereits erfolgte Datenweitergabe an den Heimatstaat sei dem Beschwerdeführer offenzulegen und ihm dazu das rechtliche Gehör zu gewähren, mangels Rechtsschutzinteresses im Rahmen dieses Verfah­rens nicht einzutreten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ihrer Verfügung zu Recht und mit ausführlicher Begründung - so dass zur Vermeidung von Wiederholungen darauf verwiesen werden kann - festgestellt, dass die Vorbringen des Beschwer­deführers weder den Anforderungen an die Glaubhaftigkeit noch denjeni­gen an die Flüchtlingseigenschaft standhalten und auch keine subjektiven Nachfluchtgründe vorliegen. Gewichtige Zweifel an der Glaubhaftigkeit entstehen insbesondere aufgrund des Lingua-Gutachtens, wonach dem Beschwerdeführer unter anderem die osttibetischen Einflüsse seiner Sprechweise durch eine exiltibetische Gemeinschaft vermittelt worden sein müssen und er zudem, ausser einem Grusswort, keine Kenntnisse der chinesischen Sprache besitze. Insbesondere die Tatsache, wonach vor allem jüngere Tibeter aus dem Tibet über Kenntnisse der chinesi­schen Sprache verfügten oder in ihrer Alltagssprache chinesische Begriffe oder Wendungen benutzen würden, und dies beim Beschwerdeführer so gar nicht der Fall sei, mute sonderbar an. Das Beharren in seiner Beschwerdeschrift auf der Glaubhaftigkeit seiner geltend gemachten illegalen Ausreise aus der Volksrepublik China sowie die Hinweise auf zwei Urteile der ehemaligen Schweizerischen Asylrekurskommission (Entscheidungen und Mitteilungen der Schweizerischen Asylrekurskommission [EMARK] 2000 Nr. 16 sowie EMARK 2005 Nr. 1) auf eine von der ARK in Auftrag gegebene Expertise von Th. Dodin, Tibet-InfoNet, und auf einen Artikel des chinesischen Strafgesetzbuches kön­nen zu keiner anderen Be­trachtungsweise führen. Im zur Publikation be­stimmten Länderurteil E-2981/2012 vom 20. Mai 2014 präzisierte nämlich das Bundesverwaltungsgericht seine bisherige Praxis dahingehend, dass bei Personen tibetischer Ethnie, die ihre wahre Her­kunft verschleiern oder verheimlichen, vermutungsweise davon auszuge­hen sei, dass keine flüchtlings- oder wegweisungsbeachtlichen Gründe gegen eine Rückkehr an ihren bisherigen Aufenthaltsort bestünden. Denn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E-2981/2012 E. 5.9 f.).</w:t>
      </w:r>
    </w:p>
    <w:p>
      <w:r>
        <w:rPr>
          <w:b/>
        </w:rPr>
        <w:t>E. 5.2</w:t>
      </w:r>
    </w:p>
    <w:p>
      <w:r>
        <w:t>Zusammenfassend ist somit festzuhalten, dass die Asylvorbringen des Beschwerdeführers weder den Anforderungen an das Glaubhaftma­chen im Sinne von Art. 7 AsylG noch denjenigen an die Flüchtlingseigen­schaft im Sinne von Art. 3 AsylG genügen. An dieser Einschätzung kön­nen auch die weiteren Ausführungen in der Rechtsmitteleingabe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Staatangehörigkeit vorliegen (vgl. EMARK 2005 Nr. 1 E. 3.2.2, mit weite­ren Hinweisen). Ein Vollzug der Wegweisung in die Volksrepublik China ist im vorinstanzlichen Entscheid ausdrücklich ausgeschlossen worden (vgl. BFM-Verfügung vom 6. Juni 2014, Dispositivziffer 5).</w:t>
      </w:r>
    </w:p>
    <w:p>
      <w:r>
        <w:rPr>
          <w:b/>
        </w:rPr>
        <w:t>E. 7.3</w:t>
      </w:r>
    </w:p>
    <w:p>
      <w:r>
        <w:t>Im vorliegenden Fall hat der Beschwerdeführer, der tibetischer Ethnie ist, keine Identitätspapiere eingereicht und auch seine behauptete chinesische Staatsangehörigkeit nicht glaubhaft gemacht. Aufgrund des ausführlichen Lingua-Gutachtens und der wenig überzeugenden Erklärungsversuche des Beschwerdeführers anlässlich des rechtlichen Gehörs sowie seiner unsubstanziierten Ausführungen, ist seine angebliche Herkunft aus der Volksrepublik China nicht glaubhaft. Viel­mehr ist mit überwiegender Wahrscheinlichkeit davon auszugehen, dass er vor seiner Ankunft in der Schweiz in der exiltibetischen Diaspora gelebt hat, wodurch sich allerdings noch keine schlüssigen Erkenntnisse hin­sichtlich seiner Staatsangehörigkeit ergeben. Eine Zuordnung der Staats­angehörigkeit ist indes nicht möglich, da der Ort der Sozialisation mit demjenigen der Staatsangehörigkeit nicht gleichzusetzen ist (vgl. EMARK, a.a.O. E. 3.2.1). 7.4.1 Im zur Publikation bestimmten Länderurteil E-2981/2012 hat das Bundesverwaltungsgericht in E.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 7.4.2 Im vorliegenden Fall hat der Beschwerdeführer, der tibetischer Ethnie ist, keine Identitätspapiere eingereicht. Zudem erscheint seine be­hauptete chinesische Staatsangehörigkeit aufgrund des Alltagswissens­tests - wie vorne dargelegt - nicht glaubhaft. Sodann sind seine Ausführungen bezüglich seiner Reise in die Schweiz unsubstanziiert ausgefallen und somit ebenfalls unglaubhaft. Es ist davon auszugehen, der Beschwerdeführer habe nur unter Verwendung authentischer Identi­täts- und Reisepapiere in die Schweiz gelangen können. Es kann seitens der Asylbehörden nicht eruiert werden, welche Staatsangehörigkeit er besitzt, wodurch er die ihm obliegende Mitwirkungspflicht verletzt, deren Folgen er insofern zu tragen hat, als seitens der Asylbehörden der Schluss gezogen werden muss, es spreche nichts gegen eine Rückkehr an den bisherigen Aufenthaltsort, da er keine konkreten glaubhaften Hin­weise geltend gemacht hat, die gegen eine Rückkehr dorthin sprechen würden.</w:t>
      </w:r>
    </w:p>
    <w:p>
      <w:r>
        <w:rPr>
          <w:b/>
        </w:rPr>
        <w:t>E. 7.5</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Rechtspflege gemäss Art. 65 Abs. 1 VwVG ist abzuweisen, da sich die Rechtsbegehren wegen der verweigerten Mitwirkungspflicht als aussichtslos erwiesen haben.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