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D-362/2007 vom 16. Juli 2010</w:t>
      </w:r>
    </w:p>
    <w:p>
      <w:r>
        <w:t>Bundesverwaltungsgericht, 2010-07-16, DE</w:t>
      </w:r>
    </w:p>
    <w:p>
      <w:r>
        <w:rPr>
          <w:b/>
        </w:rPr>
        <w:t xml:space="preserve">Quelle: </w:t>
      </w:r>
      <w:r>
        <w:t>https://mcp.opencaselaw.ch/entscheid/bvger_D-362_2007</w:t>
      </w:r>
    </w:p>
    <w:p>
      <w:r>
        <w:t>FR: TAF D-362/2007 du 16 juillet 2010</w:t>
      </w:r>
    </w:p>
    <w:p>
      <w:r>
        <w:t>IT: TAF D-362/2007 del 16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w:t>
      </w:r>
    </w:p>
    <w:p>
      <w:r>
        <w:t>Die Verneinung der Flüchtlingseigenschaft und die Ablehnung des Asylgesuchs blieben vorliegend unangefochten und sind mit Ablauf der Beschwerdefrist in Rechtskraft erwachsen. Da die Wegweisung als solche nur aufgehoben werden kann, wenn eine Aufenthaltsbewilligung vorliegt oder ein Anspruch auf Erteilung einer solchen besteht (vgl. Entscheidungen und Mitteilungen der Schweizerischen Asylrekurskommission [EMARK] 2001 Nr. 21), diese Voraussetzungen vorliegend jedoch nicht erfüllt sind, bildet Gegenstand des vorliegenden Beschwerdeverfahrens somit einzig die Frage, ob die Wegweisung zu vollziehen ist oder ob anstelle des Vollzugs eine vorläufige Aufnahme anzuordnen ist (Art. 44 AsylG i.V m. Art. 83 des Bundesgesetzes vom 16. Dezember 2005 über die Ausländerinnen und Ausländer [AuG, SR 142.20]).</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3.2.1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3.2.2</w:t>
      </w:r>
    </w:p>
    <w:p>
      <w:r>
        <w:t>Die Vorinstanz wies in ihrer angefochtenen Verfügung zutreffend darauf hin, dass der Grundsatz der Nichtrückschiebung nur Personen schützt, die die Flüchtlingseigenschaft erfüllen. Da es dem Beschwerdeführer - wie unangefochten rechtskräftig feststeht - nicht gelungen ist, eine asylrechtlich erhebliche Gefährdung glaubhaft zu machen, kann das in Art. 5 AsylG verankerte Prinzip des flüchtlingsrechtlichen Non-Refoulements im vorliegenden Verfahren keine Anwendung finden. Eine Rückführung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3.3.1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3.3.2</w:t>
      </w:r>
    </w:p>
    <w:p>
      <w:r>
        <w:t>Das BFM führte zur Zumutbarkeit des Wegweisungsvollzuges in der angefochtenen Verfügung in Bezug auf die individuelle Situation des Beschwerdeführers aus, dieser habe sich bereits ein Jahr in Colombo aufgehalten und dort eine Ausbildung als {.......} abgeschlossen. Zudem befinde sich ein Onkel von ihm in Colombo. Der Beschwerdeführer habe mehrere Jahre lang die Schule besucht und spreche Tamilisch, Singhalesisch und ein wenig Englisch. Wie bereits festgestellt worden sei, sei der geltend gemachte Aufenthalt in D._______ im Frühjahr 2006 nicht glaubhaft, weshalb seine Behauptung, er habe während dieser Zeit den Kontakt zu seinen Familienangehörigen verloren, ebenfalls nicht glaubhaft sei. Es sei vielmehr davon auszugehen, dass sich diese an einem anderen Ort aufhalten würden und der Beschwerdeführer nach wie vor in Kontakt mit ihnen stehe.</w:t>
      </w:r>
    </w:p>
    <w:p>
      <w:r>
        <w:rPr>
          <w:b/>
        </w:rPr>
        <w:t>E. 3.3.3</w:t>
      </w:r>
    </w:p>
    <w:p>
      <w:r>
        <w:t>In seiner Rechtsmitteleingabe verweist der Beschwerdeführer insbesondere auf die generelle Situation in Sri Lanka und macht bezüglich seiner individuellen Lage geltend, er sei Moslem und gehöre somit einer in Sri Lanka benachteiligten Minorität an. Gemäss UNHCR seien Personen dieser Religionszugehörigkeit in seinem Heimatland besonders gefährdet, Opfer von Menschenrechtsverletzungen durch die Konfliktparteien zu werden. Zudem würden Moslems aus dem Osten von den LTTE und der Regierung verdächtigt, mit der Gegnerpartei zusammenzuarbeiten. Ein anderes Gefährdungselement bestehe darin, dass er aufgrund des Berufes seines Vaters oft von D._______ nach Colombo gereist sei. Dort sei er von der Armee befragt und verdächtigt worden, für die Rebellen zu arbeiten. Er wisse zur Zeit nicht, wo sich seine Eltern aufhalten würden, da er erfolglos versucht habe, über einen Geschäftsfreund in Sri Lanka seine Familie ausfindig zu machen. Beim in der angefochtenen Verfügung erwähnten Onkel handle es sich um einen entfernten Verwandten. Die Ausbildung {.......} entspreche nicht einer vollen Berufsausbildung, sondern habe eher den Charakter eines Kurses.</w:t>
      </w:r>
    </w:p>
    <w:p>
      <w:r>
        <w:rPr>
          <w:b/>
        </w:rPr>
        <w:t>E. 3.3.4</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Seit Erlass des vorstehend zitierten Grundsatzurteils hat sich die Sicherheitssituation in Sri Lanka verschlechtert. Die Behörden haben namentlich im Grossraum Colombo die Sicherheitsmassnahmen erneut verschärft. Das Risiko, als Tamile willkürlichen Verhaftungen und Ausweisungen ausgesetzt zu sein, ist gestiegen. Ausserdem haben die Behörden in Bezug auf Personen tamilischer Ethnie offenbar neue Formen der Registrierung eingeführt, da namentlich aus dem Norden und Osten zugezogene Tamilen in Colombo als ernsthaftes Sicherheitsrisiko angesehen werden.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 (vgl. dazu Urteil des Bundesverwaltungsgerichts D- 4125/2006 vom 16. Februar 2010 E. 10.2.3, mit weiteren Hinweisen).</w:t>
      </w:r>
    </w:p>
    <w:p>
      <w:r>
        <w:rPr>
          <w:b/>
        </w:rPr>
        <w:t>E. 3.3.5</w:t>
      </w:r>
    </w:p>
    <w:p>
      <w:r>
        <w:t>Der Beschwerdeführer stammt aus der Ostprovinz von Sri Lanka (D._______), weshalb eine Rückkehr dorthin angesichts der oben skizzierten Rechtsprechung als nicht zumutbar zu erachten ist.</w:t>
      </w:r>
    </w:p>
    <w:p>
      <w:r>
        <w:rPr>
          <w:b/>
        </w:rPr>
        <w:t>E. 3.3.6</w:t>
      </w:r>
    </w:p>
    <w:p>
      <w:r>
        <w:t>Zu prüfen bleibt demnach, ob für den Beschwerdeführer im Süden des Landes respektive im Grossraum Colombo eine innerstaatliche Aufenthaltsalternative besteht, was das Vorliegen besonders begünstigender Faktoren wie die Existenz eines tragfähigen familiären oder sozialen Beziehungsnetzes sowie die Aussicht auf eine gesicherte Einkommens- und Wohnsituation voraussetzt. Das Bestehen einer solchen innerstaatlichen Aufenthaltsalternative ist vorliegend zu bejahen. So absolvierte der Beschwerdeführer den Akten zufolge im Jahre 2004 in Colombo eine einjährige Ausbildung im H._______ (vgl. Akten BFM A9/12 S. 5). Zudem war er gemäss eigenen Aussagen geschäftlich mit seinem Vater, der im I._______ tätig sei (vgl. A9/12 S. 4), oft in Colombo (vgl. A9/12 S. 6) beziehungsweise er sei von seinem Vater, der selten nach Colombo gegangen sei, dorthin geschickt worden (vgl. A9/12 S. 9). Der Beschwerdeführer gab zwar zu Protokoll, er habe weder Onkel noch Tanten (vgl. A2/9 S. 3), bezeichnete jedoch die Person, bei welcher er sich während seiner Ausbildung in Colombo aufgehalten habe, als Onkel (vgl. A9/12 S. 4). Auch in der Rechtsmitteleingabe vom 15. Januar 2007 ist die Rede von einem Onkel, währenddessen in der Eingabe vom 2. April 2007 vorgebracht wird, bei der erwähnten Person handle es sich nicht um einen Onkel, sondern um einen entfernten Verwandten. Unbesehen der verwandtschaftlichen Stellung dieser Person ist davon auszugehen, dass der Beschwerdeführer zufolge seines mehrfachen Aufenthaltes in Colombo (einjährige Ausbildung, mehrmalige geschäftliche Anwesenheit) dort ein soziales Beziehungsnetz hat, auf das er bei einer Rückkehr nach Sri Lanka zurückgreifen kann. Davon ist umso mehr auszugehen, als er über einen Geschäftsfreund in Sri Lanka seine Familie ausfindig zu machen versuchte. Die einjährige Dauer des Aufenthaltes in Colombo bei dem erwähnten Verwandten lässt nicht darauf schliessen, es handle sich dabei um eine flüchtige Bekanntschaft, und der Verwandte nicht willens und fähig sei, ihm bei seinen Reintegrationsbemühungen in Sri Lanka behilflich zu sein. Aufgrund seiner Ausbildung (elf Jahre Schule, ein Jahr J._______, Computerkurs; vgl. A9/12 S. 4 f.) und seiner Sprachkenntnisse (Tamilisch, Singhalesisch, etwas Englisch) dürfte es dem Beschwerdeführer in Anbetracht des bestehenden sozialen Beziehungsnetzes deshalb möglich sein, sich (erneut) in seiner Heimat respektive im Grossraum Colombo niederzulassen und sich sowohl beruflich als auch wirtschaftlich zu reintegrieren. Inwieweit er dabei im Bedarfsfall auf die Unterstützung seiner nächsten Familienangehörigen, deren Aufenthaltsort unbekannt sein soll, wird zählen können, kann somit offenbleiben. Auch wenn die Situation der Muslime in Sri Lanka, insbesondere in der Ostprovinz, aufgrund von Diskriminierung schwierig ist, spricht dies nicht gegen die Unzumutbarkeit des Wegweisungsvollzuges des Beschwerdeführers, da dieser im vorinstanzlichen Verfahren nicht geltend machte, wegen seiner Religionszugehörigkeit Behelligungen ausgesetzt gewesen zu sein. Gefragt, weshalb er nicht in Colombo geblieben sei, gab er zwar an, sein Leben sei dort in Gefahr, konnte diese Befürchtung indessen nicht weiter substanziieren (vgl. A9/12 S. 9). Nach dem Gesagten erweist sich der Vollzug der Wegweisung - auch in Anbetracht der jüngsten Ereignisse in Sri Lanka - als zumutbar.</w:t>
      </w:r>
    </w:p>
    <w:p>
      <w:r>
        <w:rPr>
          <w:b/>
        </w:rPr>
        <w:t>E. 3.4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3.5</w:t>
      </w:r>
    </w:p>
    <w:p>
      <w:r>
        <w:t>Insgesamt ist der durch die Vorinstanz verfügte Vollzug der Wegweisung zu bestätigen. Die Vorinstanz hat diesen zu Recht als zulässig, zumutbar und möglich erachtet. Nach dem Gesagten fällt eine Anordnung der vorläufigen Aufnahme ausser Betracht (Art. 83 Abs. 1 - 4 AuG).</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sind die Kosten von insgesamt Fr. 600.- dem Beschwerdeführer aufzuerlegen (Art. 63 Abs. 1 und 5 VwVG; Art. 1-3 des Reglements vom 21. Februar 2008 über die Kosten und Entschädigungen vor dem Bundesverwaltungsgericht [VGKE, SR 173.320.2]) und mit dem am 9. Juli 2007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