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D-3623/2013 vom 9. Oktober 2013</w:t>
      </w:r>
    </w:p>
    <w:p>
      <w:r>
        <w:t>Bundesverwaltungsgericht, 2013-10-09, DE</w:t>
      </w:r>
    </w:p>
    <w:p>
      <w:r>
        <w:rPr>
          <w:b/>
        </w:rPr>
        <w:t xml:space="preserve">Quelle: </w:t>
      </w:r>
      <w:r>
        <w:t>https://mcp.opencaselaw.ch/entscheid/bvger_D-3623_2013</w:t>
      </w:r>
    </w:p>
    <w:p>
      <w:r>
        <w:t>FR: TAF D-3623/2013 du 9 octobre 2013</w:t>
      </w:r>
    </w:p>
    <w:p>
      <w:r>
        <w:t>IT: TAF D-3623/2013 del 9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Ein erstes Asylverfahren des Beschwerdeführers ist bezüglich Asyl und Flüchtlingseigenschaft rechtskräftig abgeschlossen worden. Vorliegend Prozessgegenstand bildet die Frage, ob der Beschwerdeführer aufgrund exilpolitischer Aktivitäten die Flüchtlingseigenschaft erfüllt sowie die Anordnung der Wegweisung und des Wegweisungsvollzugs.</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Wer sich darauf beruft, dass durch sein Verhalten nach der Ausreise aus dem Heimat- oder Herkunftsstaat - insbesondere durch politische Exilaktivitäten - eine Gefährdungssituation erst geschaffen worden ist, sich somit auf das Vorliegen so genannter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UNHCR, Handbuch über Verfahren und Kriterien zur Feststellung der Flüchtlingseigenschaft, D._______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5.1</w:t>
      </w:r>
    </w:p>
    <w:p>
      <w:r>
        <w:t>Im Sudan dient der Geheimdienst NISS als Instrument der National Congress Party (NCP) und der Regierung dazu, landesweit Kritiker einzu­schüchtern oder zum Schweigen zu bringen, darunter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Medien werden weiterhin und seit Januar 2011 noch aggressiver zensuriert, Publikationen konfisziert, soziale Netzwerke wie Facebook, Twitter und YouTube werden infiltriert, Journalisten eingeschüchtert, verhaftet und gefoltert. Es ist davon auszugehen, dass der sudanesischen Regierung auch exilpolitische Betätigungen von Asylsuchenden bekannt werden. Der sudanesische Geheimdienst beschäftigt sich im Ausland mit der Überwachung und Kontrolle von sudanesischen Oppositionsbewegungen. Die nachrichtendienstlichen Erkenntnisse werden im Sudan ausgewertet und unter anderem militärischen Stellen zur Verfügung gestellt. Zu beachten ist, dass nicht jede politische Aktivität von sudanesischen Personen im Ausland beobachtet wird. Eine solche umfassende Beobachtung dürfte die finanziellen, technischen und personellen Möglichkeiten der sudanesischen Regierung schlicht überschreiten. Im Blickpunkt der Regierung dürften jedoch solche Personen stehen, die sich aufgrund besonderer Umstände aus dem eher anonymen Kreis der blossen Teilnehmer an politischen Veranstaltungen von Exilorganisationen herausheben (vgl. Urteil D-7162/2010 vom 29. Oktober 2012 E. 5.1 und die dort angegebenen Quellen).</w:t>
      </w:r>
    </w:p>
    <w:p>
      <w:r>
        <w:rPr>
          <w:b/>
        </w:rPr>
        <w:t>E. 5.2</w:t>
      </w:r>
    </w:p>
    <w:p>
      <w:r>
        <w:t>Hinweise für die aktuelle Gefährdungslage vor Ort ergeben sich namentlich auch aus BVGE 2013/5 vom 4. Februar 2013 E. 5.3.10: "Gemäss den vorliegenden Quellen geraten Personen dann ins Visier der sudanesischen Behörden und insbesondere des Geheim- und Sicherheitsdienstes NISS, wenn sie sich politisch engagieren, sich kritisch gegen die Regierung, die regierende NCP, gegen Behörden oder über die Lage in Darfur äussern oder verdächtigt werden, eine Rebellengruppe zu unterstützen, unabhängig von der regionalen Herkunft oder der Zugehörigkeit zu einer bestimmten ethnischen Gruppe." Für die nachfolgende Liste der Vorfälle kann auf S. 17 f. des zitierten Urteils verwiesen werden.</w:t>
      </w:r>
    </w:p>
    <w:p>
      <w:r>
        <w:rPr>
          <w:b/>
        </w:rPr>
        <w:t>E. 5.3</w:t>
      </w:r>
    </w:p>
    <w:p>
      <w:r>
        <w:t>Schliesslich erwähnt der Beschwerdeführer das Urteil E-1979/2008 vom 31. Mai 2013. Darin wird in E. 10.5 eine Gefährdungslage im Sinne von BVGE 2013/5 skizziert. Ferner kam das Gericht in diesem Urteil zum Schluss, angesichts des Umfangs und der Art seiner Aktivitäten wie insbesondere auch angesichts seines offiziellen Auftretens als Repräsentant der SLM/A aus der Schweiz an einer UNO-Konferenz müsse davon ausgegangen werden, dass das sudanesische Regime auf den Beschwerdeführer (des Verfahrens E-1979/2008) aufmerksam geworden sei. Gemäss den Akten habe er sich seit Jahren mit der Darfur-Frage auseinandergesetzt. Wie die aktuelle Lageanalyse der Situation in Darfur aufzeige, sei der Darfur-Kon­flikt nach wie vor ungelöst, wobei die SLA - als deren Schweizer Repräsentant sich der Beschwerdeführer auf internationaler Ebene zu erkennen gegeben habe - nach wie vor von den staatlichen Behörden im Sudan als Rebellengruppe bekämpft werde. Ferner müssten sudanesische Staatsangehörige nach einem längeren Auslandaufenthalt bei einer Rückkehr mit Anhörungen durch die sudanesischen Sicherheits­organe rechnen. Dabei würden auch Fragen nach etwaigen Kontakten zur Auslandopposition gestellt. Personen, welche in D._______ u.a. mit der Organisation SLM/A in Verbindung gewesen seien und sich sogar öffentlich engagieren würden, seien mit Sicherheit von der Regierung registriert worden. Ebenfalls würde mit Sicherheit ein solcher Rückkehrer bei seiner Ankunft von den sudanesischen Behörden abgefangen und verhaftet wer­den (a.a.O. S. 36 ff.).</w:t>
      </w:r>
    </w:p>
    <w:p>
      <w:r>
        <w:rPr>
          <w:b/>
        </w:rPr>
        <w:t>E. 5.4</w:t>
      </w:r>
    </w:p>
    <w:p>
      <w:r>
        <w:t>Der Beschwerdeführer räumt ein, als Mitglied der beiden von ihm genannten Organisationen keine Führungsfunktionen wahrgenommen zu haben. Insoweit kann bei ihm auch in Anbetracht seiner langjährigen Aktivitäten nicht von einer entscheidenden Schärfung seines politischen Profils in letzter Zeit ausgegangen werden. Andererseits ist unbestritten, dass er über Jahre als Mitglied der DFEZ an UNO-Anlässen partizipierte und zumindest im Umfeld dieser Konferenzen zusammen mit Führungspersonen dieser regierungsfeindlichen Organisationen auftrat, und dies bereits seit 2008. Auch soll er Journalistenfragen beantwortet haben. Zudem macht er geltend, sein Vater sei seinetwegen im Sudan durch die Behörden kontaktiert worden. Insge­samt weist er so nunmehr ein politisches Profil auf, welches den Arg­wohn der mit Sicherheit auch in D._______ (verdeckt) operierenden sudanesischen Sicherheitskräfte im Sinne einer Identifizierung und Fichierung als zwar nicht hochkarätigen, aber durchaus ernst zu nehmen­den Regimegegner erweckt haben dürfte. Aufgrund der gesamten Aktenlage ist davon auszugehen, dass der Beschwerdeführer seit seinem Aufenthalt in der Schweiz vom sudanesischen Regime als aktiver Oppositioneller registriert wurde. Vor diesem Hintergrund besteht hinreichender Anlass zur Annahme, dass er bei der Rückkehr in den Sudan mit ernsthaften Nachteilen von Seiten des sudanesischen Regimes zu rechnen hätte. Die geltend gemachte Furcht vor künftiger Verfolgung ist daher als begründet zu erkennen. Da sich die Gefahr der Verfolgung bereits bei einer allfälligen Wiedereinreise in den Sudan zeigen dürfte, besteht kein hinreichender Anlass zur Annahme, dem Beschwerdeführer stünde eine innerstaatliche Schutzalternative zur Verfügung.</w:t>
      </w:r>
    </w:p>
    <w:p>
      <w:r>
        <w:rPr>
          <w:b/>
        </w:rPr>
        <w:t>E. 5.5</w:t>
      </w:r>
    </w:p>
    <w:p>
      <w:r>
        <w:t>Zusammenfassend ist unter diesen Umständen festzustellen, dass es dem Beschwerdeführer gelungen ist, das Bestehen subjekti­ver Nachflucht­gründe im Sinne von Art. 54 AsylG glaub­haft zu ma­chen, und er da­mit die Voraussetzungen für die Zuerken­nung der Flücht­lingsei­genschaft erfüllt, von der Asylgewährung jedoch ausgeschlossen bleibt. Es kann mithin davon abgesehen werden, auf weitere Vorbringen und die Beweis­mittel näher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Aus den vorstehenden Erwägungen ergibt sich, dass der Be­schwer­deführer begründete Furcht vor zukünftiger Verfolgung im Sinne von Art. 3 AsylG glaubhaft machen konnte. Der Vollzug der Wegwei­sung in den Sudan erweist sich daher wegen drohender Verlet­zung des flüchtlingsrechtlichen Gebots des Non-Refoulement (Art. 5 AsylG) sowie auch mit Blick auf Art. 3 EMRK als unzulässig, da davon ausgegangen werden muss, dass er im Falle sei­ner Rückkehr ins Heimatland mit beachtlicher Wahrscheinlichkeit men­schenrechtswidriger Behandlung ausgesetzt wäre.</w:t>
      </w:r>
    </w:p>
    <w:p>
      <w:r>
        <w:rPr>
          <w:b/>
        </w:rPr>
        <w:t>E. 8</w:t>
      </w:r>
    </w:p>
    <w:p>
      <w:r>
        <w:t>Diesen Erwägungen gemäss ist die Beschwerde gutzuheissen und der Beschwerdeführer als Flüchtling vorläufig aufzunehmen. Insofern als dem Beschwerdeführer in der angefochtenen Verfügung die Gewährung von Asyl verweigert wird, und in der Folge die Wegweisung anordnet, ist dies zu bestätigen.</w:t>
      </w:r>
    </w:p>
    <w:p>
      <w:r>
        <w:rPr>
          <w:b/>
        </w:rPr>
        <w:t>E. 9.1</w:t>
      </w:r>
    </w:p>
    <w:p>
      <w:r>
        <w:t>Bei diesem Ausgang des Verfahrens sind keine Kosten aufzuerle­gen.</w:t>
      </w:r>
    </w:p>
    <w:p>
      <w:r>
        <w:rPr>
          <w:b/>
        </w:rPr>
        <w:t>E. 9.2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1'200.-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