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D-3622/2012 vom 3. September 2012</w:t>
      </w:r>
    </w:p>
    <w:p>
      <w:r>
        <w:t>Bundesverwaltungsgericht, 2012-09-03, DE</w:t>
      </w:r>
    </w:p>
    <w:p>
      <w:r>
        <w:rPr>
          <w:b/>
        </w:rPr>
        <w:t xml:space="preserve">Quelle: </w:t>
      </w:r>
      <w:r>
        <w:t>https://mcp.opencaselaw.ch/entscheid/bvger_D-3622_2012</w:t>
      </w:r>
    </w:p>
    <w:p>
      <w:r>
        <w:t>FR: TAF D-3622/2012 du 3 septembre 2012</w:t>
      </w:r>
    </w:p>
    <w:p>
      <w:r>
        <w:t>IT: TAF D-3622/2012 del 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als Asylgründe geltend, dass er seit 1987 in Z._______ im Nordirak lebe. Er habe für die US-amerikanische Armee als Dolmetscher gearbeitet. Aufgrund seiner Arbeit sei er von Jihad-Ter­ro­risten mit dem Tod bedroht worden. Im Jahre 2007 habe man Sprengstoff an seiner Haustür befestigt und 2008 hätten Terroristen sein Auto beschossen. Kurz vor seiner Ausreise habe er zwei Drohbriefe und eine CD erhalten, worin er als Mitarbeiter der Ungläubigen bedroht worden sei. Er habe daraufhin bei den kurdischen Polizeikräften Anzeige erstattet. Nach­dem er für die US-Amerikaner einen Auftrag ausgeführt habe, welcher in der Beschaffung eines Fotografie eines unter Terrorismus-Verdacht stehenden Majors der irakischen Armee bestanden habe, sei er von den kur­dischen Behörden verdächtigt worden, die US-Amerikaner mit Informationen über die kurdische Armee zu versorgen. Daraufhin hätten ihn Generäle der Grenzeinheiten aufgefordert, zu verschwinden. Er habe die Amerikaner um Schutz gebeten. Diese hätten jedoch nichts unternommen. Ein befreundeter Richter habe ihm deshalb zur Ausreise geraten. Er sei schliesslich von einem Kurden namens D._______ für das Verschwinden dessen Vaters (der vorhin erwähnte Major) verantwortlich gemacht und bedroht worden. Nachdem der Beschwerdeführer seine Heimat verlassen habe, hätten D._______s Leute sein Haus geplündert.</w:t>
      </w:r>
    </w:p>
    <w:p>
      <w:r>
        <w:rPr>
          <w:b/>
        </w:rPr>
        <w:t>E. 4.2</w:t>
      </w:r>
    </w:p>
    <w:p>
      <w:r>
        <w:t>Die Vorinstanz begründete die Ablehnung des Asylgesuchs damit, dass das BFM nicht an der Dolmetschertätigkeit des Beschwerdeführers zweifle. Als Mitarbeiter der US-Truppen sei er jedoch genügend durch die lokalen Behörden geschützt. Die Drohbriefe würden sich zwar nicht auf ihre Echtheit hin überprüfen lassen, doch habe der Beschwerdeführer über deren Erhalt widersprüchliche Angaben gemacht. In der BzP habe er erklärt, dass sie unter der Haustüre durchgeschoben worden seien. In der Zweitanhörung habe er jedoch ausgeführt, dass er die Dokumente in der Autogarage gefunden habe. Daher sei der Beweiswert dieser Dokumente sehr gering. Es sei nicht glaubhaft, dass er von den US-Amerikanern keinen Schutz erhalten könne. Die diesbezügliche Aussage des Beschwerdeführers stehe im Widerspruch zum eingereichten Schreiben der US-Ar­mee, welches ihn für die US-amerikanische Staatsbürgerschaft empfehle. Zudem habe der Beschwerdeführer auch ausgeführt, dass er ohne Probleme ein Visum für die USA erhalten könne. Somit sei belegt, dass die US-Behörden zur Schutzgewährung bereit seien. Die geäusserte Befürchtung, die USA würden ihn an die kurdischen Behörden ausliefern, überzeuge nicht. Unglaubhaft sei des Weiteren, dass ihn die kurdischen Behörden als Spitzel betrachten würden. Dieser Annahme stehe auch die Aussage des Beschwerdeführers entgegen, dass er selbst bei den kurdischen Behörden Anzeige erstattet habe. Der Spionage-Vorwurf erscheine auch daher unglaubhaft, da die Amerikaner die irakische Armee aufgebaut hätten und auch heute noch unterstützen würden, so dass die Amerikaner keinen Bedarf an Informationsquellen hätten. Es sei zudem anzunehmen, dass der Beschwerdeführer sogleich festgenommen worden wäre, hätten ihn die Generäle der Grenzeinheiten tatsächlich der Spionage verdächtigt. Es sei auch nicht nachvollziehbar, wieso sich der Beschwerdeführer nicht danach erkundigt habe, was mit dem Major geschehen sei. Schliesslich sei mit Verweis auf die Rechtsprechung des Bundesverwaltungsgerichts festzuhalten, dass die kurdischen Behörden fähig und auch willens seien, ihre Bürger zu beschützen. Zu verneinen sei der Schutzwille nur, wenn die Verfolgung von den Behörden selbst ausgehe oder die schutzsuchende Person sich gegen den Machtanspruch der herrschenden kurdischen Parteien stelle. Die terroristische Gruppierung Jihad al-Tawhid, von deren Seite der Beschwerdeführer eine Bedrohung geltend mache, sei dem BFM nicht bekannt. Die zweite Gruppierung, Ansar al-Sunna, sei zwar für zahlreiche Anschläge und Attentate verantwortlich. Allerdings sei gemäss Medienberichten der Anführer der Gruppierung im Mai 2010 festgenommen worden, so dass erwiesen sei, dass die kurdischen Behörden gegen Bedrohungen seitens dieser Gruppierung vorgehen würden. Es seien aus den Akten keine Hinweise ersichtlich, die auf eine Schutzunwilligkeit der kurdischen Behörden schliessen lassen würden. Die geltend gemachte Bedrohung durch den Sohn des Majors sei erst in der Zweitbefragung erwähnt worden, was diese als nachgeschoben und daher sehr zweifelhaft erscheinen lasse. Überdies seien die diesbezüglichen Angaben widersprüchlich und vage. So habe der Beschwerdeführer ausgesagt, D._______ habe ihm eine unbestimmte Frist gesetzt, um den Auf­enthaltsort des Majors zu nennen. Eine "unbestimmte Frist" sei aber bereits in sich widersprüchlich und auch die angebliche Drohung von D._______, dieser Forderung innerhalb der Frist nachzukommen, mache in Anbetracht der unbestimmten Frist wenig Sinn. Aufgrund dieser wenig glaubhaften Ausführungen zu den verschiedenen Bedrohungsquellen sei auch zu bezweifeln, dass der Beschwerdeführer bereits früher von Terroristen bedroht worden sei. Diese Zweifel würden durch die erheblich verzögerte Ausreise nach dem Sprengstoffanschlag sowie dem Beschuss des Autos in den Jahren 2007 beziehungsweise 2008 noch verstärkt werden.</w:t>
      </w:r>
    </w:p>
    <w:p>
      <w:r>
        <w:rPr>
          <w:b/>
        </w:rPr>
        <w:t>E. 4.3</w:t>
      </w:r>
    </w:p>
    <w:p>
      <w:r>
        <w:t>Diesen Erwägungen wurde in der Beschwerdeschrift entgegengehalten, dass Dolmetscher im Irak generell einer Gefahr ausgesetzt seien. Gegen diese seien sogar landesweite Fatwas verhängt worden, aufgrund derer bereits mehr als 360 Dolmetscher ermordet worden seien. Die Terror-Organisationen, welche den Beschwerdeführer bedrohen würden, würden im ganzen Staatsgebiet des Iraks operieren. In diesem Jahr hätten sie beispielsweise im Nordirak zwei Menschen ermordet. Die Angaben des Beschwerdeführers, wie er in Besitz der Drohbriefe gekommen sei, seien nicht widersprüchlich. Die Garagentür werde von der Familie als Haustüre genutzt, so dass der Beschwerdeführer teils von der Haus- und teils von der Garagentür gesprochen habe. Der Beschwerdeführer erhalte auch keinen Schutz durch die US-Ameri­kaner. Viele ehemalige Dolmetscher würden von den Amerikanern im Stich gelassen. Die US-Truppen würden den Irak auch bis Ende nächsten Jahres verlassen, was die Gefährdung zusätzlich erhöhe. Der Vorwurf, die Bedrohungslage seitens der Behörden sei nicht glaubhaft, da der Beschwerdeführer selbst bei diesen Behörden gegen die Terroristen Anzeige erstattet habe, sei unzutreffend. Die Anzeige bei den kur­dischen Behörden sei nach den beiden Anschlagsversuchen in den Jahren 2007 und 2008 erfolgt und somit noch bevor er von den Behörden als Spitzel verdächtigt worden sei.</w:t>
      </w:r>
    </w:p>
    <w:p>
      <w:r>
        <w:rPr>
          <w:b/>
        </w:rPr>
        <w:t>E. 4.4</w:t>
      </w:r>
    </w:p>
    <w:p>
      <w:r>
        <w:t>In der Vernehmlassung führte das BFM aus, dass die Beschwerdeschrift nicht auf die konkrete Gefährdungssituation von Dolmetschern im Nordirak eingehe. So habe eine der beiden beispielhaft vorgebrachten Er­mordungen keinen amerikafeindlichen Hintergrund. Die Situation im Zentralirak liesse sich nicht mit derjenigen im Nordirak vergleichen, was im Übrigen auch der Beschwerdeführer selbst anerkenne. Die eingereichten Fotos würden lediglich eine Garage zeigen und es sei daraus nicht ersichtlich, dass diese auch als Hauseingang genutzt werde. Die Behauptung in der Beschwerdeschrift, dass sich der Beschwerdeführer ab 2010 nicht mehr an die Behörden gewendet habe, sei aktenwidrig, da der Beschwerdeführer in der Erstbefragung ausgesagt habe, dass er sich nach Erhalt der Drohbriefe und der CD und somit kurz vor seiner Ausreise an den Sicherheitsdienst (Asaish) gewendet habe.</w:t>
      </w:r>
    </w:p>
    <w:p>
      <w:r>
        <w:rPr>
          <w:b/>
        </w:rPr>
        <w:t>E. 4.5</w:t>
      </w:r>
    </w:p>
    <w:p>
      <w:r>
        <w:t>In der Replik wendete der Beschwerdeführer ein, dass es im Nordirak auch radikale Islamisten gebe, die den US-Amerikanern feindlich gesinnt seien und jährlich viele Verbrechen begehen würden, vor welchen die Be­hörden den Beschwerdeführer nicht schützen könnten. Es treffe zu, dass sich der Beschwerdeführer nach Erhalt der Drohbriefe und der CD an den Asaish gewendet habe. Erst danach habe er jedoch vom befreundeten Richter erfahren, dass er als Spion verdächtigt werde. Somit habe er erst danach nicht mehr auf den Schutz der Behörden zählen können. Die kurdische Regionalregierung besitze im Übrigen auch Staatsgeheimnisse, welche sie trotz einer Freundschaft mit den Amerikanern nicht mit diesen teilen wolle.</w:t>
      </w:r>
    </w:p>
    <w:p>
      <w:r>
        <w:rPr>
          <w:b/>
        </w:rPr>
        <w:t>E. 4.6</w:t>
      </w:r>
    </w:p>
    <w:p>
      <w:r>
        <w:t>Mit Eingabe vom 29. August 2012 reichte der Beschwerdeführer einen Ausdruck einer Internetseite "Lavin Press" ein, welche über die Festnahme von 13 Terrorverdächtigen im Juli 2012 durch den Asaish berichtet. Dies würde belegen, dass die Sicherheitslage im Nordirak sehr fragil sei und von den Terroristen weiterhin eine grosse Gefahr für den Beschwerdeführer ausgehe.</w:t>
      </w:r>
    </w:p>
    <w:p>
      <w:r>
        <w:rPr>
          <w:b/>
        </w:rPr>
        <w:t>E. 4.7</w:t>
      </w:r>
    </w:p>
    <w:p>
      <w:r>
        <w:t>Als Kernvorbringen machte der Beschwerdeführer geltend, dass ihm eine Verfolgung seitens radikal-islamistischer Gruppierungen drohe. Be­treffend eine Bedrohung durch Islamisten führte das Bundesverwaltungsgericht in einem Grundsatzurteil aus, dass die kurdischen Behörden massiv gegen islamistische Gruppierungen vorgingen und in diesem Kampf von den US-amerikanischen Truppen nach deren Einmarsch in den Irak unterstützt wurden. Obwohl unklar ist, wie stark der Einfluss der Islamis­ten heute noch ist, ist es den kurdischen Behörden und Sicherheitskräften (noch) nicht gelungen, die Extremisten ganz aus den Nordprovinzen in den Süden oder über die Grenze in den Iran zu vertreiben oder sie ander­weitig auszuschalten. Aufgrund mehrerer Anschläge ist immer noch von der, wenn auch punktuellen, Aktionsfähigkeit der islamistischen Gruppierungen auszugehen (BVGE 2008/4 E. 7.3 S. 53 f.). Der Beschwerdeführer war als Dolmetscher für die US-amerikanischen Truppen tätig, so dass eine Gefährdung seitens radikal-islamistischer Gruppierungen hinreichend dargelegt ist. Allerdings handelt es sich dabei nicht um eine staatliche, sondern um eine private Verfolgung.</w:t>
      </w:r>
    </w:p>
    <w:p>
      <w:r>
        <w:rPr>
          <w:b/>
        </w:rPr>
        <w:t>E. 4.8</w:t>
      </w:r>
    </w:p>
    <w:p>
      <w:r>
        <w:t>Mit dem Grundsatzentscheid EMARK 2006 Nr. 18 wurde die sogenannte Schutztheorie anerkannt. Somit kann heute eine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 Im vorliegenden Fall von zentraler Bedeutung ist folglich die Frage, ob der Beschwerdeführer vor einer drohenden privaten Verfolgung durch islamistische Terroristen beim Staat Schutz finden kann. Bei der Beurteilung, welche Art beziehungsweise welcher Grad von Schutz im Heimatland als "genügend" zu qualifizieren ist, kann gemäss erwähntem Grund­satzentscheid vollumfänglich auf die bisherige Rechtsprechung abgestellt werden. Zunächst ist nicht eine faktische Garantie für langfristigen absoluten individuellen Schutz vor nichtstaatlicher Verfolgung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die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(EMARK 2006 Nr. 18 E. 10.3.1 und 10.3.2 S. 203 mit weiteren Hinweisen auf die Rechtsprechung).</w:t>
      </w:r>
    </w:p>
    <w:p>
      <w:r>
        <w:rPr>
          <w:b/>
        </w:rPr>
        <w:t>E. 4.9</w:t>
      </w:r>
    </w:p>
    <w:p>
      <w:r>
        <w:t>Das Bundesverwaltungsgericht hat sich im Urteil BVGE 2008/4 vertieft mit der Schutzfähigkeit und Schutzwilligkeit der kurdischen Behörden im Nordirak auseinandergesetzt. Darin kam das Gericht zum Schluss, dass sich die Sicherheitslage im Nordirak deutlich besser darstellt als im restlichen Staatsgebiet. Die kurdischen Behörden sind grundsätzlich in der Lage, ihren Bürgern genügend Schutz vor nicht-staatlichen Übergriffen zu bieten (BVGE 2008/4 E. 6.5 S. 46). So kann davon ausgegangen werden, dass die Behörden grundsätzlich gegen Islamisten vorgehen und vor Übergriffen dieser Gruppierungen genügend Schutz bieten. Dennoch ist eine vertiefte Einzelfallabklärung zur Feststellung der Schutzgewährung - insbesondere in Bezug auf deren Effektivität - in diesen Konstellationen unerlässlich (BVGE 2008/4 E. 6.7 S. 52). Diese Lagebeurteilung hat weiterhin Gültigkeit (vgl. Urteil des Bundesverwaltungsgerichts E-3125/2012 vom 19. Juni 2012).</w:t>
      </w:r>
    </w:p>
    <w:p>
      <w:r>
        <w:rPr>
          <w:b/>
        </w:rPr>
        <w:t>E. 4.10</w:t>
      </w:r>
    </w:p>
    <w:p>
      <w:r>
        <w:t>Der Beschwerdeführer begründet die mangelnde Schutzbereitschaft der Behörden damit, dass sie ihn als US-amerikanischen Spion betrachten würden. Dieses Vorbringen überzeugt nicht. Zum einen hat sich der Beschwerdeführer - obwohl er in der Beschwerdeschrift kurz von dieser Sachdarstellung abgerückt ist - selbst noch nach Erhalt der Drohbriefe und der CD (...) 2010 problemlos an die kurdische Polizei wenden können. Gemäss eigenen Angaben habe er die CD (...) 2010 respektive drei Tage vor seiner Flucht erhalten (act. A12/11 F6 f.). Damals habe er nicht mehr zuhause gewohnt, da er aufgrund der Bedrohung durch D._______ (...) 2010 ausgezogen sei (act. A12/11 F 10 f.). Gemäss eigener Schilderung habe er sich, unmittelbar nachdem D._______ die Bedrohung ausgesprochen habe, an den Richter gewendet und schliesslich am nächsten Tag bei den Grenzeinheiten vorgesprochen, die ihn als Spitzel bezichtigt hätten (act. A12/11 F18). In der zeitlichen Abfolge fand dieses Treffen mit den Generälen der Grenzeinheiten somit vor Erhalt der CD statt. Der Beschwerdeführer wandte sich daher erst nach angeblicher Eröffnung des Spionageverdachts an den Asaish. Die vom Beschwerdeführer geäusserte - angeblich bereits damals bestandene - Befürchtung, keinen Schutz durch die Behörden zu erhalten, findet in den Anhörungsprotokollen mithin keine Stütze. Zum anderen ist es auch wenig verständlich, wieso die kurdischen Behör­den aufgrund der Mithilfe des Beschwerdeführers bei der Festnahme des Majors jenem keinen Schutz zu bieten bereit wären. Gemäss Schilderungen des Beschwerdeführers sei der Major wohl wegen terroristischer Spionage durch die irakischen Behörden festgenommen worden (act. A12/11 F28 f.). Wieso diese Behörden, welche an der Terrorismusbekämpfung und somit an der Festnahme des Majors ein erhebliches Interesse haben, den Beschwerdeführer aufgrund seiner Mithilfe bei der Festnahme eines Terrorverdächtigen als Verräter betrachten und daher nicht mehr schützen würden, ist nicht ersichtlich.</w:t>
      </w:r>
    </w:p>
    <w:p>
      <w:r>
        <w:rPr>
          <w:b/>
        </w:rPr>
        <w:t>E. 4.11</w:t>
      </w:r>
    </w:p>
    <w:p>
      <w:r>
        <w:t>Es kann mithin festgehalten werden, dass die kurdischen Behörden dem Beschwerdeführer genügend Schutz vor Übergriffen durch radikal-is­lamistische Gruppierungen bieten. Gleiches gilt für etwaige Verfolgungshandlungen von D._______, so dass sich eine Glaubhaftigkeitsprüfung dieser Vorbringen des Beschwerdeführers erübrigt.</w:t>
      </w:r>
    </w:p>
    <w:p>
      <w:r>
        <w:rPr>
          <w:b/>
        </w:rPr>
        <w:t>E. 4.12</w:t>
      </w:r>
    </w:p>
    <w:p>
      <w:r>
        <w:t>Die vom Beschwerdeführer dargelegte Bedrohung durch die kurdischen Behörden wegen der Informationsbeschaffung für die US-Streit­kräfte ist - aufgrund obiger Erwägungen - nicht glaubhaft.</w:t>
      </w:r>
    </w:p>
    <w:p>
      <w:r>
        <w:rPr>
          <w:b/>
        </w:rPr>
        <w:t>E. 4.13</w:t>
      </w:r>
    </w:p>
    <w:p>
      <w:r>
        <w:t>Das BFM hat die Flüchtlingseigenschaft des Beschwerdeführers mit­hin zu Recht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Das BFM erachtete den Wegweisungsvollzug als zumutbar, da in den drei kurdischen Provinzen des Nordiraks keine Situation allgemeiner Gewalt herrsche. Der Beschwerdeführer stamme aus Y._______ und lebe seit 1987 in Z._______. Seine Eltern und vier Geschwister würden ebenfalls in Z._______ leben. Es sei folglich davon auszugehen, dass er dort über ein soziales Beziehungsnetz verfüge. Er sei zudem gut ausgebildet und habe als Strafermittler, Übersetzer und im Sicherheitsbereich gearbeitet. Daher könne er sich in der Heimat wirtschaftlich und sozial wieder eingliedern.</w:t>
      </w:r>
    </w:p>
    <w:p>
      <w:r>
        <w:rPr>
          <w:b/>
        </w:rPr>
        <w:t>E. 6.6</w:t>
      </w:r>
    </w:p>
    <w:p>
      <w:r>
        <w:t>In der Beschwerdeschrift wird vorgebracht, dass der Beschwerdeführer an Leib, Leben sowie Freiheit gefährdet sei und die Zumutbarkeit des Vollzugs der Wegweisung daher unzumutbar sei. Gemäss Arztzeugnis vom (...) 2012 leide der Beschwerdeführer an einer schweren posttraumatischen Belastungsstörung und werde seit (...) 2012 in der (Klinik) behandelt. Gemäss Begleitschreiben des Beschwerdeführers sei der Grund für diese psychischen Leiden die mit dem negativen Asylentscheid des BFM verbundene Angst vor einer Ausschaffung zurück in den Irak. Der Beschwerdeführer sei aber auch aufgrund der Todesdrohungen durch die Islamis­ten traumatisiert.</w:t>
      </w:r>
    </w:p>
    <w:p>
      <w:r>
        <w:rPr>
          <w:b/>
        </w:rPr>
        <w:t>E. 6.7</w:t>
      </w:r>
    </w:p>
    <w:p>
      <w:r>
        <w:t>Das Bundesverwaltungsgericht schliesst sich den Ausführungen des BFM vollumfänglich an. Gemäss weiterhin zutreffender bundesverwaltungsgerichtlicher Rechtsprechung ist der Wegweisungsvollzug in die kur­dischen Provinzen grundsätzlich zumutbar, sofern der Beschwerdeführer aus dieser Region stammt und dort über ein tragfähiges Beziehungsnetz verfügt (BVGE 2008/5 E. 7.5.8 S. 72; Urteil des Bundesverwaltungsgerichts E-4673/2009 vom 24. Mai 2012 E. 4.2.2). Der Beschwerdeführer hat Rechtswissenschaften studiert und als Dolmetscher, Strafermittler und Direktor einer Sicherheitsfirma fundierte Berufserfahrung gesammelt (act. Act. A6/11 § 8 S. 2). Zudem leben vier seiner Geschwister sowie seine Eltern in Z._______ (act. Act. A6/11 § 12 S. 3), so dass er über ein tragfähiges Beziehungsnetz verfügt. Nach Ansicht des Gerichts sind die psychischen Leiden (zur Hauptsache) auf den negativen Asylentscheid zurückzuführen und stellen somit eine Reaktion auf die drohende Ausschaffung dar. So wurden diese Leiden beim Beschwerdeführer erst nach dem negativen Asylentscheid diagnostiziert. Einer mit der Rückschaffung einhergehenden psychischen Dekom­pensation kann mit einer geeigneten psychiatrischen Betreuung im Zeitraum der Rückschaffung begegnet werden. In diesem Zusammenhang ist auch festzuhalten, dass im Norden des Iraks nicht vom Fehlen psychiatrischer Betreuungsmöglichkeiten und medikamentöser Behandlung auszugehen ist (vgl. dazu Urteil des Bundesverwaltungsgerichts D-5633/2008 vom 22. Juli 2011 E. 7.3.5.). Sollten nach der Rückkehr etwaige psychische Probleme anhalten, so bestände - gegebenenfalls mit finanzieller Unterstützung im Rahmen einer medizinischen Rückkehrhilfe i.S.v. Art. 93 Abs. 1 Bst. d AsylG - die Möglichkeit, entsprechende medizinische Angebote in Anspruch zu nehmen. Mithin sprechen auch keine medizinischen Gründe gegen die Zumutbarkeit des Wegweisungsvollzugs. Nach dem Gesagten erweist sich der Vollzug der Wegweisung als zumutbar.</w:t>
      </w:r>
    </w:p>
    <w:p>
      <w:r>
        <w:rPr>
          <w:b/>
        </w:rPr>
        <w:t>E. 6.8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6.9</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