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D-3617/2015 vom 20. August 2015</w:t>
      </w:r>
    </w:p>
    <w:p>
      <w:r>
        <w:t>Bundesverwaltungsgericht, 2015-08-20, DE</w:t>
      </w:r>
    </w:p>
    <w:p>
      <w:r>
        <w:rPr>
          <w:b/>
        </w:rPr>
        <w:t xml:space="preserve">Quelle: </w:t>
      </w:r>
      <w:r>
        <w:t>https://mcp.opencaselaw.ch/entscheid/bvger_D-3617_2015</w:t>
      </w:r>
    </w:p>
    <w:p>
      <w:r>
        <w:t>FR: TAF D-3617/2015 du 20 août 2015</w:t>
      </w:r>
    </w:p>
    <w:p>
      <w:r>
        <w:t>IT: TAF D-3617/2015 del 20 agosto 2015</w:t>
      </w:r>
    </w:p>
    <w:p>
      <w:pPr>
        <w:pStyle w:val="Heading2"/>
      </w:pPr>
      <w:r>
        <w:t>Regeste</w:t>
      </w:r>
    </w:p>
    <w:p>
      <w:r>
        <w:t>Asyl (ohne Wegweisung)</w:t>
      </w:r>
    </w:p>
    <w:p>
      <w:pPr>
        <w:pStyle w:val="Heading2"/>
      </w:pPr>
      <w:r>
        <w:t>Erwägungen</w:t>
      </w:r>
    </w:p>
    <w:p>
      <w:r>
        <w:rPr>
          <w:b/>
        </w:rPr>
        <w:t>E. 1.1</w:t>
      </w:r>
    </w:p>
    <w:p>
      <w:r>
        <w:t>Gemäss Art. 31 Verwaltungsgerichtsgesetz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Bundesge­richtsgesetz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Das SEM hat die Glaubhaftigkeit einer asylrelevanten Verfolgung des Beschwerdeführers verneint. Diese Sichtweise vermag im Ergebnis zu überzeugen. So gab er anlässlich der Anhörung zu, bei der BzP unwahre Angaben zu seinen familiären Verhältnissen gemacht zu haben, und liess eine asyltaktische Motivation erkennen (A 20/19 Antworten 33 ff.). Auch die abweichenden Angaben auf die Fragen, ob er je in Haft gewesen sei, lassen Zweifel an seinen Vorbringen aufkommen. Zwar dürfte - wie auch im Entscheid ausgeführt - unbestritten sein, dass der Vater und der eine Bruder gestorben sind. Seine Ausführungen, wonach diese mutmasslich wegen Taliban-Verdachts zielgerichtet durch die Sicherheitskräfte umgebracht worden seien, überzeugen aber nicht. So weist die Vorinstanz zurecht daraufhin hin, dass bei einem solchen behördlichen Verdacht zuerst mit Ermittlungshandlungen zu rechnen gewesen wäre. Von einer Person, welche durch einen solchen Angriff direkt betroffen gewesen sei und dabei Familienangehörige verloren habe, hätten zudem - wie vom SEM erwähnt - weiterführende Informationen über das Geschehene als die vom Beschwerdeführer gegebenen erwartet werden können. Stichhaltige Beschwerdeargumente für eine andere Sichtweise fehlen. Letztlich kann aber die Glaubhaftigkeit der vorgebrachten Todesumstände der beiden Angehörigen offen gelassen werden. Unbesehen der Frage der Täterschaft beziehungsweise der Frage, ob es sich bei der Tötung des Bruders und des Vaters beim Vorfall vom November 2012 um gezielte Verfolgung aus den im Asylgesetz genannten Gründen handelte, gelang es dem Beschwerdeführer nämlich nicht, eine gegen seine Person zielgerichtete Verfolgung asylrelevanten Ausmasses - sei es im Sinne einer Reflexverfolgung oder wegen seines eigenen Verhaltens - als im Zeitpunkt der Ausreise konkret drohend erscheinen zu lassen oder eine solche Verfolgung im Sinne begründeter Furcht für den Fall der Rückkehr ins Heimatland glaubhaft zu machen. So weist er gemäss eigenen Angaben kein politisches Profil und keine Bezüge zur Taliban auf; er sei vor der Ausreise weder durch die Behörden noch die erwähnte Organisation je konkret bedroht worden (A 5/13 S. 9; A 20/19 Antworten 15 f.). Dass er im Zeitpunkt der Ausreise mit asylrelevanten Massnahmen der Sicherheitskräfte hätte rechnen müssen, kann den Akten mithin nicht entnommen werden. Vielmehr erweckte er wiederholt den Eindruck, das Land wegen der generell angespannten Lage in der Heimatprovinz verlassen zu haben (A 20/19 Antworten 19 und 135 ff.). Dieser generellen Lage trug das SEM mit der Anordnung der vorläufigen Aufnahme Rechnung.</w:t>
      </w:r>
    </w:p>
    <w:p>
      <w:r>
        <w:rPr>
          <w:b/>
        </w:rPr>
        <w:t>E. 4.2</w:t>
      </w:r>
    </w:p>
    <w:p>
      <w:r>
        <w:t>Das gemäss Angaben des Beschwerdeführers nach der Ausreise seinem Onkel übermittelte Taliban-Schreiben vermag eine diesbezügliche und allenfalls asylrelevante Verfolgung durch die Organisation nicht hinreichend glaubhaft zu machen. Das SEM weist zurecht darauf hin, dass diese angebliche Vorgehensweise eher realitätsfremd anmute. Deshalb und auch in Anbetracht des bloss allgemeinen Inhalts sowie der fehlenden Datierung ist das Dokument nicht beweistauglich. In Anbetracht der Tatsache, dass der Beschwerdeführer bei der Beerdigung seiner Angehörigen von den offenbar zahlreich anwesenden Taliban-Mitgliedern (erneut) nicht kontaktiert wurde, entsteht jedenfalls auch nicht der Eindruck, es hätten ihm seitens dieser Organisation relevante Repressalien gedroht (A 20/19 Antwort 124). Ausführungen zur sogenannten Schutztheorie können somit unterbleiben.</w:t>
      </w:r>
    </w:p>
    <w:p>
      <w:r>
        <w:rPr>
          <w:b/>
        </w:rPr>
        <w:t>E. 4.3</w:t>
      </w:r>
    </w:p>
    <w:p>
      <w:r>
        <w:t>Konkrete Anhaltspunkte dafür, dass der Beschwerdeführer seitens der Sicherheitskräfte oder der Taliban nach der Rückkehr mit relevanten Nachteilen zu rechnen hätte, bestehen mithin nicht. An dieser Einschät­zung ver­mögen die weiteren Beweismittel nichts zu ändern, da sie - wie auch das SEM festhält - an sich nicht bestrittene Sachverhaltselemente beschlagen beziehungsweise sich nicht konkret auf die Situation des Beschwerdeführers beziehen. Taugliche Gegenargumente sind der Beschwerdeschrift nicht zu entnehmen.</w:t>
      </w:r>
    </w:p>
    <w:p>
      <w:r>
        <w:rPr>
          <w:b/>
        </w:rPr>
        <w:t>E. 5</w:t>
      </w:r>
    </w:p>
    <w:p>
      <w:r>
        <w:t>Unter Berücksichtigung der gesamten Umstände folgt, dass der Be­schwerdeführer keine Gründe nach Art. 3 AsylG nachweisen oder glaub­haft machen konnte. Die Vorinstanz hat die Flüchtlingseigen­schaft zu Recht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7.2</w:t>
      </w:r>
    </w:p>
    <w:p>
      <w:r>
        <w:t>Der Beschwerdeführer wurde vom SEM mit Entscheid vom 13. Mai 2015 wegen Unzumutbarkeit des Wegweisungsvollzuges vorläufig in der Schweiz aufgenommen. Ausführungen zum Vollzug der Wegweisung erübrigen sich demnach.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Bezahlung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