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D-3615/2010 vom 2. Juli 2010</w:t>
      </w:r>
    </w:p>
    <w:p>
      <w:r>
        <w:t>Bundesverwaltungsgericht, 2010-07-02, DE</w:t>
      </w:r>
    </w:p>
    <w:p>
      <w:r>
        <w:rPr>
          <w:b/>
        </w:rPr>
        <w:t xml:space="preserve">Quelle: </w:t>
      </w:r>
      <w:r>
        <w:t>https://mcp.opencaselaw.ch/entscheid/bvger_D-3615_2010</w:t>
      </w:r>
    </w:p>
    <w:p>
      <w:r>
        <w:t>FR: TAF D-3615/2010 du 2 juillet 2010</w:t>
      </w:r>
    </w:p>
    <w:p>
      <w:r>
        <w:t>IT: TAF D-3615/2010 del 2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37 VGG i.V.m. Art. 52 Abs. 1 VwVG). Der Beschwerdeführer ist durch die angefochtene Verfügung besonders berührt und hat ein schutzwürdiges Interesse an deren Aufhebung beziehungsweise Änderung; er ist daher zur Einreichung der Beschwerde legitimiert (Art. 105 AsylG i.V.m. Art. 37 VGG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5.1</w:t>
      </w:r>
    </w:p>
    <w:p>
      <w:r>
        <w:t>In der Rechtsmitteleingabe wurde im Wesentlichen ausgeführt, den zahlreichen Aktivitäten sei zu entnehmen, dass es sich beim Beschwerdeführer mitnichten um ein einfaches Mitglied bei einer oppositionellen Organisation handle. Vielmehr sei er aktives Mitglied, welches sich für die Interessen der iranischen Oppositionellen stark mache und sich exponiere, was ein beträchtliches Verfolgungsrisiko im Iran zur Folge habe. Aber auch Personen, die sich nur in geringem Ausmass gegen das Regime stellten, seien gefährdet. Ob der herrschenden Willkür müsse von einer Verfolgungsgefahr ausgegangen werden, sobald sich jemand in der Öffentlichkeit gegen das Regime äussere.</w:t>
      </w:r>
    </w:p>
    <w:p>
      <w:r>
        <w:rPr>
          <w:b/>
        </w:rPr>
        <w:t>E. 5.2</w:t>
      </w:r>
    </w:p>
    <w:p>
      <w:r>
        <w:t>Im Folgenden hat das Bundesverwaltungsgericht zu prüfen, ob der Beschwerdeführer aufgrund seines im zweiten Asylverfahren geltend gemachten exilpolitischen Engagements in der Schweiz zukünftige Verfolgung durch die iranischen Behörden zu befürchten hat und demnach die Flüchtlingseigenschaft wegen subjektiver Nachfluchtgründe erfüllt.</w:t>
      </w:r>
    </w:p>
    <w:p>
      <w:r>
        <w:rPr>
          <w:b/>
        </w:rPr>
        <w:t>E. 5.2.1</w:t>
      </w:r>
    </w:p>
    <w:p>
      <w:r>
        <w:t>Subjektive Nachfluchtgründe sind dann anzunehmen, wenn eine asylsuchende Person erst durch ihre Ausreise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die weiterhin zutreffende Praxis in Entscheidungen und Mitteilungen der Schweizerischen Asylrekurskommission [EMARK] 2000 Nr. 16 E. 5a S. 141 f., mit weiteren Hinweisen).</w:t>
      </w:r>
    </w:p>
    <w:p>
      <w:r>
        <w:rPr>
          <w:b/>
        </w:rPr>
        <w:t>E. 5.2.2</w:t>
      </w:r>
    </w:p>
    <w:p>
      <w:r>
        <w:t>Zur Untermauerung des im zweiten Asylverfahren geltend gemachten exilpolitischen Engagements brachte der Beschwerdeführer umfassendes Beweismaterial bei. So reichte er neben den mit dem Asylgesuch und den anlässlich der Anhörungen ins Recht gelegten Unterlagen (vgl. Bstn. A.b, A.d und A.f des Sachverhalts) zusammen mit der Beschwerde vom 17. Februar 2009 eine umfangreiche Dokumentation betreffend seine zwischen dem 17. November 2007 und dem 10. Dezember 2008 ausgeübten Tätigkeiten sowie Internetausdrucke der DVF ein.</w:t>
      </w:r>
    </w:p>
    <w:p>
      <w:r>
        <w:rPr>
          <w:b/>
        </w:rPr>
        <w:t>E. 5.2.3</w:t>
      </w:r>
    </w:p>
    <w:p>
      <w:r>
        <w:t>Es ist allgemein bekannt und unbestritten, dass die iranischen Behörden die politischen Aktivitäten ihrer Staatsangehörigen im Ausland überwachen und systematisch erfassen. Durch Einsatz moderner Software dürfte es den iranischen Behörden auch ohne Weiteres möglich sein, die im Internet vorhandenen riesigen Datenmengen ohne allzu grossen Aufwand gezielt und umfassend zu überwachen und gegebenenfalls nach Stichworten zu durchsuchen. Demzufolge bleibt im Einzelfall zu prüfen, ob die in der Schweiz entwickelten exilpolitischen Aktivitäten bei einer allfälligen Ausschaffung in den Iran mit überwiegender Wahrscheinlichkeit ernsthafte Nachteile im asylrechtlichen Sinne nach sich ziehen würden. Es ist dabei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Somit sind für die Einschätzung einer Verfolgungsgefahr nicht die Mitgliedschaft in einer exilpolitischen Organisation, die Teilnahme an regimekritischen Demonstrationen und das hierbei übliche Tragen von Plakaten und Rufen von Parolen, sondern Positionen (z. B. Vorsitzende/r einer Exilgruppe), Form und Einfluss von Aktionen (z. B. gewaltsamer Protest) von Bedeutung (vgl. BVGE 2009/28 E. 7.4.3). Dabei ist nicht primär das Hervortreten im Sinne einer optischen Erkennbarkeit und Individualisierbarkeit, sondern eine derartige Exponierung in der Öffentlichkeit massgebend, die den Eindruck erweckt, dass der Asylsuchende zu einer Gefahr für den Bestand des Mullah-Regimes wird. Dass die iranischen Sicherheitsbehörden zwischen tatsächlich politisch engagierten Regimekritikern und Exilaktivisten, die mit ihren Aktionen in erster Linie die Chancen auf ein Aufenthaltsrecht zu erhöhen versuchen, zu unterscheiden vermögen, darf vorausgesetzt werden (vgl. BVGE 2009/28 E. 7.4.3).</w:t>
      </w:r>
    </w:p>
    <w:p>
      <w:r>
        <w:rPr>
          <w:b/>
        </w:rPr>
        <w:t>E. 5.2.4</w:t>
      </w:r>
    </w:p>
    <w:p>
      <w:r>
        <w:t>Vorweg ist festzuhalten, dass es dem Beschwerdeführer nicht gelang, eine Vorverfolgung glaubhaft zu machen (vgl. Urteil des Bundesverwaltungsgerichts D-4600/2006 vom 24. August 2007, E. 4.2). Somit ist nicht davon auszugehen, dass er bereits vor der Ausreise die Aufmerksamkeit der iranischen Behörden in relevantem Ausmass auf sich gezogen hat. Vor diesem Hintergrund rechtfertigt sich der Schluss, dass er vor seiner Einreise in die Schweiz durch die iranischen Behörden jedenfalls nicht als staatsgefährdender Politaktivist fichiert war. Der Beschwerdeführer legte im ersten Asylverfahren mit Eingabe vom 24. Oktober 2005 als Bestätigung für die geltend gemachte Mitgliedschaft bei der DVF eine Kopie seines Mitgliederausweises, gültig bis Ende 2006, ins Recht. Es besteht kein Anlass, an dieser, zwar für den heutigen Zeitpunkt nicht mehr belegten, aber wohl auch heute noch bestehenden Mitgliedschaft sowie am geltend gemachten und (bis zum April 2010) umfassend dokumentierten Engagement zu zweifeln. Fest steht, dass der Beschwerdeführer an der monatlichen Sitzung der DVF, an Protestkundgebungen und Informationsveranstaltungen teilnimmt, Flugblätter und die DVF-Monatszeitschrift verteilt, zusammen mit seinem Cousin die (...) auf der Homepage der DVF (...) betreut, Nachrichten für die Webseite der DVF (...) sammelt und an die für die Publikation verantwortliche Person weiterleitet sowie regimekritische Videos auf "Youtube" veröffentlicht hat. Ausserdem wurde er am (...) zum (...) der DVF-Sektion C_______. ernannt. Den Akten zufolge wurden an zahlreichen der genannten Veranstaltungen Fotos gemacht und ins Internet gestellt.</w:t>
      </w:r>
    </w:p>
    <w:p>
      <w:r>
        <w:rPr>
          <w:b/>
        </w:rPr>
        <w:t>E. 5.2.5.1</w:t>
      </w:r>
    </w:p>
    <w:p>
      <w:r>
        <w:t>Die Teilnahme des Beschwerdeführers an Demonstrationen, Sitzungen und Informationsveranstaltungen sowie das Verteilen von Flugblättern und der DVF-Monatszeitschrift können denn auch insofern mit den politischen Tätigkeiten einer Vielzahl seiner Landsleute verglichen werden, als sich diese Aktivitäten nicht von denjenigen anderer Iraner abheben. Die durch den Beschwerdeführer öffentlich vorgetragene Kritik am Regime weist insgesamt nicht den nötigen Exponierungsgrad auf, um bei den iranischen Behörden den Eindruck zu erwecken, dass er zu einer Gefahr für den Bestand ihres Regimes wird (vgl. BVGE 2009/28 E. 7.4.3). Es ist zwar unbestritten, dass der Beschwerdeführer gemäss Aktenlage während längerer Zeit in der exiliranischen Szene sehr präsent war und auch heute noch präsent ist. Allein die Erhöhung der Quantität niedrig profilierter Tätigkeiten kann vorliegend indes noch nicht als Qualitätsänderung der Gesamtaktivität gewertet werden. Es ist vielmehr davon auszugehen, dass gerade derjenige, der über einen längeren Zeitraum im Rahmen zahlreicher Veranstaltungsteilnahmen nach aussen hin deutlich macht, dass er lediglich "dabei ist", gegenüber dem iranischen Nachrichtendienst zwar den Beweis einer möglichen Unzufriedenheit liefert. Von einer - gegebenenfalls im Zusammenwirken mit anderen - ernst zu nehmenden Gefahr für das Mullah-Regime in Teheran kann hingegen nicht gesprochen werden. In diesem Sinne ist auch auf das Bestätigungsschreiben des (...) der DVF vom (...) hinzuweisen, aus dem hervorgeht, dass der Beschwerdeführer in der Funktion als (...) unter anderem für das Verfassen und Verteilen von Aufrufen und Resolutionen für Aktionen im Kanton C._______ zuständig ist. Wie sich dem Aufgabenbeschrieb entnehmen lässt, nimmt der Beschwerdeführer als (...) der DVF-Sektion C._______ keine markanten Führungsaufgaben wahr, sondern ist vorwiegend administrativ beziehungsweise logistisch tätig, weshalb nicht davon auszugehen ist, dass er dadurch das Interesse des iranischen Geheimdienstes an seiner Person geweckt hat.</w:t>
      </w:r>
    </w:p>
    <w:p>
      <w:r>
        <w:rPr>
          <w:b/>
        </w:rPr>
        <w:t>E. 5.2.5.2</w:t>
      </w:r>
    </w:p>
    <w:p>
      <w:r>
        <w:t>Im Weiteren ist zu prüfen, ob der Beschwerdeführer aufgrund seines Engagements als (...) auf der Webseite der DVF eine asylrelevante Verfolgung zu befürchten hat. Es kann diesbezüglich auf das Verfahren seines Cousins (N._______) verwiesen werden, der ebenfalls für die Betreuung der (...) zuständig ist. Das Bundesverwaltungsgericht ist in jenem Verfahren zum Schluss gelangt, dass auch das blosse Aufschalten von zusammengetragenen irankritischen Pressemeldungen auf der Homepage der DVF den Cousin - selbst wenn er hierfür angeblich die Verantwortung trage - nicht zu einer exponierten Person mache, welche unweigerlich mit Verfolgung durch die heimatlichen Behörden rechnen müsse, da es sich dabei um eine vorwiegend technische Aufgabe handle (vgl. Urteil D-1159/2009 vom 2. März 2009). Diese Einschätzung gilt ebenso für den Beschwerdeführer, da seine Funktion als (...) derjenigen des Cousins entspricht. Darüber hinaus ist festzuhalten, dass sich die Tätigkeit als (...) den Aussagen des Beschwerdeführers zufolge darauf beschränkt, mittels Recherchen auf diversen Webseiten im Internet Nachrichten und Berichte zu sammeln, um diese auf der DVF-Webseite weiterzuverbreiten (vgl. B16, F15-18). Da es somit einzig darum geht, bereits veröffentlichte Informationen weiterzuverbreiten, ist nicht davon auszugehen, dass der Beschwerdeführer allein aufgrund dieser Tätigkeit asylrelevante Verfolgungsmassnahmen seitens der iranischen Behörden zu befürchten hätte. Dies umso weniger, als er auf der Homepage der DVF (...) in allen drei Sprachversionen unter dem Link "(...)" im Gegensatz zum anlässlich der Anhörung vom 16. Juli 2009 eingereichten Internetausdruck vom 11. Juli 2009 nicht mehr namentlich als (...) erwähnt wird (Stand 29. Juni 2010). Sollte der Name des Beschwerdeführers künftig jedoch wiederum auf der Homepage aufgeschaltet werden, liesse sich aus diesen Angaben nicht mit Sicherheit auf die Identität des Beschwerdeführers schliessen, zumal allein aus der Kombination des Vor- und Nachnamens die Identität nicht einwandfrei erwiesen ist (vgl. bereits Urteil D-4600/2006 vom 24. August 2007, E. 4.3.3).</w:t>
      </w:r>
    </w:p>
    <w:p>
      <w:r>
        <w:rPr>
          <w:b/>
        </w:rPr>
        <w:t>E. 5.2.5.3</w:t>
      </w:r>
    </w:p>
    <w:p>
      <w:r>
        <w:t>Darüber hinaus gilt es zu beurteilen, ob der Beschwerdeführer wegen der Veröffentlichung regimekritischer Videos auf "Youtube" bei einer Rückkehr in den Iran mit asylrelevanter Verfolgung zu rechnen hat. Nach einer genauen Durchsicht der einzelnen Videos stellt das Bundesverwaltungsgericht fest, dass die Videos "(...)" vom (...) und "(...)" vom (...) eine Reihe von Bildausschnitten namentlich von Demonstrationen und Anschlägen auf Personen und Fahrzeuge sowie von Opfern dieser Anschläge zeigen. Ausserdem beinhaltet "(...)" eine Einleitung in Farsi, und auf einem der Bilder ist eine mit einem roten Pfeil gekennzeichnete männliche Person zu sehen. Demgegenüber zeigt das Video "(...)" vom (...) eine Vielzahl von Bildern noch lebender beziehungsweise bereits verstorbener (...) (u.a. [...]). Im Weiteren fällt auf, dass der Vor- und Nachname des Beschwerdeführers bei allen drei Videos auf dem "Youtube"-Portal aufgeschaltet ist, und der Beschwerdeführer sowohl im Abspann von "(...)" als auch von "(...)" als Produzent namentlich genannt wird. Auf den einzelnen Bildausschnitten der Demonstrationen und Anschläge sind jeweils unbekannte Personen ersichtlich, weshalb sich kein direkter Bezug zum Beschwerdeführer herstellen lässt. Da die mit einem roten Pfeil markierte Person nicht klar erkennbar ist, ist im Weiteren nicht eindeutig davon auszugehen, dass es sich hierbei um den Beschwerdeführer handeln könnte. Schliesslich ist darauf hinzuweisen, dass der Beschwerdeführer allein aufgrund der Nennung seines Namens auf dem "Youtube"-Portal und im Abspann der Videos "(...)" sowie "(...)" keinen Nachteil zu befürchten hat, zumal seine Identität dadurch nicht einwandfrei erwiesen ist (vgl. Urteil D-4600/2006 vom 24. August 2007, E. 4.3.3). Es kann nämlich nicht ausgeschlossen werden, dass weitere Personen denselben Vor- und Nachnamen tragen. Nach dem Gesagten ist somit nicht davon auszugehen, dass der Beschwerdeführer wegen der auf "Youtube" veröffentlichten Videos asylrelevante Verfolgungsmassnahmen seitens der iranischen Behörden zu befürchten hat.</w:t>
      </w:r>
    </w:p>
    <w:p>
      <w:r>
        <w:rPr>
          <w:b/>
        </w:rPr>
        <w:t>E. 5.3</w:t>
      </w:r>
    </w:p>
    <w:p>
      <w:r>
        <w:t>Was die in der Rechtsmitteleingabe geltend gemachte Furcht des Beschwerdeführers vor Verfolgungsmassnahmen seitens der iranischen Behörden wegen seiner illegalen Ausreise betrifft, ist darauf hinzuweisen, dass Personen aus dem Iran sowohl aufgrund ihrer (illegalen) Ausreise aus ihrem Heimatland als auch wegen der Einreichung eines Asylgesuchs in der Schweiz bei einer Rückkehr in ihre Heimat gemäss gesicherten Erkenntnissen des Bundesverwaltungsgerichts weiterhin keine asylrechtlich relevanten Nachteile zu befürchten haben (vgl. BVGE 2009/28 E. 7.4.4, mit Hinweis auf EMARK 1998 Nr. 20 E. 9b S. 182 f.). Das entsprechende Vorbringen des Beschwerdeführers erweist sich demzufolge als unbegründet.</w:t>
      </w:r>
    </w:p>
    <w:p>
      <w:r>
        <w:rPr>
          <w:b/>
        </w:rPr>
        <w:t>E. 5.4</w:t>
      </w:r>
    </w:p>
    <w:p>
      <w:r>
        <w:t>In Anbetracht der gesamten Umstände kommt das Bundesverwaltungsgericht somit zum Schluss, dass die Ausführungen in der Beschwerdeschrift nicht geeignet sind, die Erwägungen der Vorinstanz zu entkräften. Bei dieser Sachlage erübrigt es sich, auf die weiteren Darlegungen in der Beschwerde näher einzugehen, zumal dies insgesamt zu keiner anderen Einschätzung führen kann. Im Ergebnis ist demnach festzustellen, dass die geltend gemachten subjektiven Nachfluchtgründe nicht geeignet sind, eine flüchtlingsrechtlich relevante Verfolgungsfurcht zu begründen, weshalb der Beschwerdeführer nicht als Flüchtling im Sinne von Art. 3 AsylG anerkannt werden kann. Die Vorinstanz hat sein zweites Asylgesuch infolgedessen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Weder die aktuelle allgemeine politische und wirtschaftliche Lage im Iran noch individuelle Gründe lassen auf eine konkrete Gefährdung des Beschwerdeführers im Falle einer Rückkehr schliessen.</w:t>
      </w:r>
    </w:p>
    <w:p>
      <w:r>
        <w:rPr>
          <w:b/>
        </w:rPr>
        <w:t>E. 7.4.2</w:t>
      </w:r>
    </w:p>
    <w:p>
      <w:r>
        <w:t>So ist insbesondere davon auszugehen, der Beschwerdeführer werde in seiner Heimat eine neue Existenz aufbauen können, zumal er über eine Ausbildung als F._______ mit abgeschlossenem Hochschulstudium verfügt und zudem Arbeitserfahrung als G._______ aufweist. Darüber hinaus verfügt er in seinem Heimatland über ein tragfähiges soziales Beziehungsnetz (Verlobte, Eltern und Geschwister), welches ihm bei der Wiedereingliederung behilflich sein kann. Zudem sind auch keine weiteren persönlichen Gründe ersichtlich, aufgrund derer unter Umständen geschlossen werden könnte, der Beschwerdeführer gerate im Falle der Rückkehr in eine existenzbedrohende Situation, weshalb der Vollzug der Wegweisung - in Übereinstimmung mit der Vorinstanz - als zumutbar zu bezeichnen ist.</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Mit dem Urteil in der Hauptsache ist das Gesuch um Verzicht auf die Erhebung eines Kostenvorschusses gegenstandslos geworden.</w:t>
      </w:r>
    </w:p>
    <w:p>
      <w:r>
        <w:rPr>
          <w:b/>
        </w:rPr>
        <w:t>E. 11.1</w:t>
      </w:r>
    </w:p>
    <w:p>
      <w:r>
        <w:t>Aufgrund vorstehender Erwägungen erweist sich die Beschwerde als aussichtslos, weshalb das Gesuch um Gewährung der unentgeltlichen Rechtspflege im Sinne von Art. 65 Abs. 1 VwVG unbesehen der durch die Fürsorgebestätigung vom 26. April 2010 ausgewiesenen Bedürftigkeit des Beschwerdeführers abzuweisen ist. Das Gesuch um Gewährung der unentgeltlichen Rechtspflege gemäss Art. 65 Abs. 2 VwVG ist mangels Erfüllung der Voraussetzungen von Art. 65 Abs. 1 VwVG ebenfalls abzuweisen.</w:t>
      </w:r>
    </w:p>
    <w:p>
      <w:r>
        <w:rPr>
          <w:b/>
        </w:rPr>
        <w:t>E. 11.2</w:t>
      </w:r>
    </w:p>
    <w:p>
      <w:r>
        <w:t>Bei diesem Ausgang des Verfahrens sind die Kosten dem Beschwerdeführer aufzuerlegen (Art. 63 Abs. 1 und 5 VwVG) und auf insgesamt Fr. 600.-- festzusetzen (Art. 16 Abs. 1 Bst. a VGG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