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D-3614/2015 vom 16. Juni 2015</w:t>
      </w:r>
    </w:p>
    <w:p>
      <w:r>
        <w:t>Bundesverwaltungsgericht, 2015-06-16, DE</w:t>
      </w:r>
    </w:p>
    <w:p>
      <w:r>
        <w:rPr>
          <w:b/>
        </w:rPr>
        <w:t xml:space="preserve">Quelle: </w:t>
      </w:r>
      <w:r>
        <w:t>https://mcp.opencaselaw.ch/entscheid/bvger_D-3614_2015</w:t>
      </w:r>
    </w:p>
    <w:p>
      <w:r>
        <w:t>FR: TAF D-3614/2015 du 16 juin 2015</w:t>
      </w:r>
    </w:p>
    <w:p>
      <w:r>
        <w:t>IT: TAF D-3614/2015 del 16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(Art. 7 AsylG). Entscheidend ist, ob eine Gesamtwürdigung der Vorbringen ergibt, dass die Gründe, die für die Richtigkeit der Sachverhaltsdarstellung des Gesuchstellers sprechen, überwiegen oder nicht (vgl. BVGE 2013/11 E. 5.1 [S. 142 f.]).</w:t>
      </w:r>
    </w:p>
    <w:p>
      <w:r>
        <w:rPr>
          <w:b/>
        </w:rPr>
        <w:t>E. 4.3</w:t>
      </w:r>
    </w:p>
    <w:p>
      <w:r>
        <w:t>Aufgrund der in der Rechtsmitteleingabe gestellten Rechtsbegehren und deren Begründung ist im vorliegenden Beschwerdeverfahren einzig die Frage zu beantworten, ob der Beschwerdeführer die geltend gemachte illegale Ausreise aus Eritrea glaubhaft darzutun vermag beziehungsweise bei einer Rückkehr in den Heimatstaat befürchten muss, wegen subjektiver Nachfluchtgründe ernsthaften Nachteilen im Sinne von Art. 3 AsylG ausgesetzt zu werden (vgl. Art. 54 AsylG und auch BVGE 2009/28 E. 7.1 S. 352).</w:t>
      </w:r>
    </w:p>
    <w:p>
      <w:r>
        <w:rPr>
          <w:b/>
        </w:rPr>
        <w:t>E. 4.4</w:t>
      </w:r>
    </w:p>
    <w:p>
      <w:r>
        <w:t>In der Beschwerde wird eingewendet, dass an den von einer minderjährigen Person vorgebrachten Sachverhalt nicht dieselben strengen Voraussetzungen der Glaubhaftmachung geknüpft werden dürften wie bei erwachsenen Personen. Diesen tieferen Beweismassstab habe das SEM in seinem Entscheid nicht berücksichtigt. Namentlich habe es die illegale Ausreise aufgrund einer einzigen Unstimmigkeit in der Schilderung des Reisewegs durch den Beschwerdeführer - Flucht nach B._______ anfänglich per Bus, dann zu Fuss, beziehungsweise ausschliesslich zu Fuss - als nicht glaubhaft erachtet. Demgegenüber weise diese Schilderung mehrere durch das SEM nicht gewürdigte Realkennzeichen auf. Zudem würde die illegale Ausreise durch den eingereichten Schülerausweis, welcher durch die Vorinstanz in Verbindung mit dem vorgebrachten Sachverhalt nicht geprüft worden sei, zusätzlich untermauert. Schliesslich habe die bei der Anhörung vom 31. März 2015 anwesende HWV den minderjährigen Beschwerdeführer als glaubwürdig eingeschätzt, da seine Vorbringen substanziiert, genügend detailliert sowie plausibel und in sich schlüssig gewesen seien (vgl. Beschwerde S. [...], Schülerausweis, Bericht HWV).</w:t>
      </w:r>
    </w:p>
    <w:p>
      <w:r>
        <w:rPr>
          <w:b/>
        </w:rPr>
        <w:t>E. 4.5</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1996 Nr. 27 E. 3c/aa, 1996 Nr. 28 E. 3a).</w:t>
      </w:r>
    </w:p>
    <w:p>
      <w:r>
        <w:rPr>
          <w:b/>
        </w:rPr>
        <w:t>E. 4.5.1</w:t>
      </w:r>
    </w:p>
    <w:p>
      <w:r>
        <w:t>Die soeben aufgeführten Kriterien der Glaubhaftmachung sind mit Blick auf die Vorbringen des Beschwerdeführers nicht als erfüllt zu erachten. Daran vermögen die Ausführungen in der Beschwerdeeingabe nichts zu ändern. Namentlich ergibt die Überprüfung der Protokolle des erstinstanzlichen Verfahrens, dass den besonderen Aspekten der Minderjährigkeit des Beschwerdeführers - dieser war zum Zeitpunkt der BzP (...) beziehungsweise zu jenem der Anhörung (...) alt - in gebührender Weise, insbesondere seinem Alter und Reifegrad, Rechnung getragen wurde (Art. 7 Abs. 5 der Asylverordnung 1 vom 11. August 1999 [AsylV 1, SR 142.311]). Diesbezüglich verweist das UN-Flüchtlingshochkommissariat (UNHCR) in seinen Richtlinien darauf, dass von Kindern eine Schilderung ihrer Erlebnisse nicht in gleicher Weise erwartet werden könne, wie von Erwachsenen. Um eine optimale Mitwirkung von unbegleiteten minderjährigen Asylsuchenden (UMA) erreichen zu können, müssten in den verschiedenen Verfahrensphasen, einschliesslich der Anhörung, im Asylverfahren geeignete Kommunikationsmethoden gewählt werden. Dabei sei äusserst wichtig, dass die befragende Person über das nötige Fachwissen verfüge, um die Verlässlichkeit und Bedeutung der Aussagen des Kindes richtig einschätzen zu können. UMA brauchten ausserdem Zeit, um ein Vertrauensverhältnis zu ihrem Vormund und zu anderem Fachpersonal aufzubauen und ein Gefühl der Sicherheit zu entwickeln (vgl. Richtlinien zum Internationalen Schutz: Asylanträge von Kindern im Zusammenhang mit Art. 1 (A) 2 und 1 (F) FK, S. 29 ff.). Die Überprüfung der Akten ergibt, dass die Befragung und die Anhörung des Beschwerdeführers auch in dieser Hinsicht nicht zu beanstanden sind. Diese Einschätzung wird durch den eingereichten HWV-Bericht bestätigt, gemäss welchem die Anhörung in Anwesenheit der Beistandsperson angenehm verlaufen sei (vgl. HWV-Bericht S. [...]).</w:t>
      </w:r>
    </w:p>
    <w:p>
      <w:r>
        <w:rPr>
          <w:b/>
        </w:rPr>
        <w:t>E. 4.5.2</w:t>
      </w:r>
    </w:p>
    <w:p>
      <w:r>
        <w:t>Zwar trifft zu, dass in Bezug auf die Schilderung der Ausreise durch den Beschwerdeführer in den vorinstanzlichen Erwägungen lediglich ein - wenn auch fundamentaler - Widerspruch namentlich erwähnt wird. Jedoch wurde in der angefochtenen Verfügung in diesem Zusammenhang auch erwogen, dass sich die Liste der Unstimmigkeiten weiterführen liesse, aber aus prozessökonomischen Gründen darauf verzichtet würde. Die Überprüfung der Akten ergibt, dass die vorinstanzlichen Erwägungen auch in dieser Hinsicht zutreffen, weshalb zur Vermeidung von Wiederholungen auf die entsprechenden Erwägungen verwiesen werden kann (vgl. Sachverhalt Bst. B). Daran vermögen die Zeichnung "(...)" sowie (...) welche Dokumente als Beweismittel im Beschwerdeverfahren eingereicht wurden, nichts zu ändern. Was die Bezugnahme des Beschwerdeführers auf die HWV anbelangt, ist festzuhalten, dass für die Beurteilung der Glaubhaftigkeit und Relevanz der Vorbringen im Asylverfahren einzig das SEM beziehungsweise die Beschwerdeinstanz zuständig sind. Es erübrigt sich deshalb, diesbezüglich auf den eingereichten HWV-Bericht einzugehen. Im Übrigen sah sich die HWV im Rahmen der Anhörung vom 31. März 2015 nicht veranlasst, Beobachtungen der Anhörung, Anregungen für weitere Sachverhaltsabklärungen oder Einwände zum Protokoll zu vermerken (vgl. vorinstanzliche Akten [...]).</w:t>
      </w:r>
    </w:p>
    <w:p>
      <w:r>
        <w:rPr>
          <w:b/>
        </w:rPr>
        <w:t>E. 4.5.3</w:t>
      </w:r>
    </w:p>
    <w:p>
      <w:r>
        <w:t>Schliesslich ist bei der Beurteilung der Glaubhaftmachung im Rahmen der Gesamtbeurteilung aller Elemente festzuhalten, dass weder die Zulassungskarte zu den Abschlussprüfungen aus dem Jahr 2013 noch der bis zum (...) 2014 gültige Schülerausweis geeignet sind, die Einschätzung der fehlenden Glaubhaftigkeit in Bezug auf die vom Beschwerdeführer geltend gemachte Illegalität der Ausreise aus Eritrea nachhaltig in Zweifel zu ziehen, könnte doch aus der Zulassungskarte zu seinen Gunsten lediglich abgeleitet werden, dass die Ausreise aus dem Heimatstaat nicht vor dem Jahr 2013 erfolgte, wogegen zu seinen Lasten darauf geschlossen werden könnte, dass er entgegen seinen Aussagen die Schule beziehungsweise das neunte Schuljahr in K._______ gar nie besucht hat, womit die erheblichen Zweifel an der von ihm geltend gemachte illegale Ausreise von diesem Ort nach B._______ weiter erhärtet würden. Dass er den Schulunterricht in Eritrea besuchte, wurde jedoch von der Vorinstanz nicht in Abrede gestellt. Im Übrigen stimmen die Angaben bezüglich (...) im Schülerausweis nicht mit den vom Beschwerdeführer zu Protokoll gegebenen überein, wofür dieser keinerlei Erklärung hatte (vgl. a.a.O. [...]).</w:t>
      </w:r>
    </w:p>
    <w:p>
      <w:r>
        <w:rPr>
          <w:b/>
        </w:rPr>
        <w:t>E. 4.6</w:t>
      </w:r>
    </w:p>
    <w:p>
      <w:r>
        <w:t>Zusammenfassend vermögen die Vorbringen des Beschwerdeführers in Bezug auf die Umstände von dessen Ausreise aus Eritrea den Anforderungen an die Glaubhaftigkeit nicht zu genügen. Aufgrund der vorstehenden Erwägungen erübrigt es sich, auf die weiteren Ausführungen in der Beschwerde und die eingereichten Beweismittel näher einzugehen, weil sie am Ergebnis nichts ändern können. Das SEM hat die Flüchtlingseigenschaft des Beschwerdeführers demnach unter diesem Blickwinkel zu Recht verneint.</w:t>
      </w:r>
    </w:p>
    <w:p>
      <w:r>
        <w:rPr>
          <w:b/>
        </w:rPr>
        <w:t>E. 5</w:t>
      </w:r>
    </w:p>
    <w:p>
      <w:r>
        <w:t>Aus den angestellten Erwägungen ergibt sich, dass die - einzig in Bezug auf Ziffer 1 des Dispositivs angefochtene - Verfügung Bundesrecht nicht verletzt sowie den rechtserheblichen Sachverhalt richtig und vollständig feststellt (Art. 106 AsylG). Die Beschwerde ist folglich abzuweisen.</w:t>
      </w:r>
    </w:p>
    <w:p>
      <w:r>
        <w:rPr>
          <w:b/>
        </w:rPr>
        <w:t>E. 6</w:t>
      </w:r>
    </w:p>
    <w:p>
      <w:r>
        <w:t>Das mit der Beschwerde gestellte Gesuch um Gewährung der unentgeltlichen Rechtspflege ist, ungeachtet der vom Beschwerdeführer nachgewiesenen prozessualen Bedürftigkeit, abzuweisen, da die Beschwerdebegehren nach dem Gesagten als aussichtslos zu qualifizieren waren, weshalb die Voraussetzungen von Art. 65 Abs. 1 VwVG nicht erfüllt sind. Das Gesuch um Gewährung der unentgeltlichen Rechtsverbeiständung im Sinne von Art. 110a Abs. 1 AsylG ist mangels Erfüllung der Voraussetzungen von Art. 65 Abs. 1 VwVG ebenfalls abzuweisen. Bei diesem Ausgang des Verfahrens sind die Kosten von Fr. 600.-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