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D-3612/2025 vom 27. Oktober 2025</w:t>
      </w:r>
    </w:p>
    <w:p>
      <w:r>
        <w:t>Bundesverwaltungsgericht, 2025-10-27, DE</w:t>
      </w:r>
    </w:p>
    <w:p>
      <w:r>
        <w:rPr>
          <w:b/>
        </w:rPr>
        <w:t xml:space="preserve">Quelle: </w:t>
      </w:r>
      <w:r>
        <w:t>https://mcp.opencaselaw.ch/entscheid/bvger_D-3612_2025</w:t>
      </w:r>
    </w:p>
    <w:p>
      <w:r>
        <w:t>FR: TAF D-3612/2025 du 27 octobre 2025</w:t>
      </w:r>
    </w:p>
    <w:p>
      <w:r>
        <w:t>IT: TAF D-3612/2025 del 27 ottobre 2025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Auf die frist- und formgerecht eingereichte Be- schwerde ist einzutreten (Art. 108 Abs. 2 AsylG und Art. 52 Abs. 1 VwVG).</w:t>
      </w:r>
    </w:p>
    <w:p>
      <w:r>
        <w:t>D-3612/2025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3.1</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4.1 Der Beschwerdeführer rügt in formeller Hinsicht, die Vorinstanz habe den Sachverhalt unvollständig und unrichtig festgestellt. Diese formelle Rüge ist vorab zu prüfen, da ihre Begründetheit die Kassation der vorinstanzlichen Verfügung bewirken könnte.</w:t>
      </w:r>
    </w:p>
    <w:p>
      <w:r>
        <w:rPr>
          <w:b/>
        </w:rPr>
        <w:t>E. 4.1</w:t>
      </w:r>
    </w:p>
    <w:p>
      <w:r>
        <w:t>Der Beschwerdeführer rügt in formeller Hinsicht, die Vorinstanz habe den Sachverhalt unvollständig und unrichtig festgestellt. Diese formelle Rüge ist vorab zu prüfen, da ihre Begründetheit die Kassation der vor- instanzlichen Verfügung bewirken könnte.</w:t>
      </w:r>
    </w:p>
    <w:p>
      <w:r>
        <w:rPr>
          <w:b/>
        </w:rPr>
        <w:t>E. 4.2</w:t>
      </w:r>
    </w:p>
    <w:p>
      <w:r>
        <w:t>Die Rüge erweist sich als unbegründet. Die Vorinstanz hat den rechts- erheblichen Sachverhalt rechtsgenüglich festgestellt, das Dossier der Schwester beigezogen (vgl. angefochtene Verfügung S. 5), ihren Ent- scheid in tatsächlicher und rechtlicher Hinsicht nachvollziehbar begründet und im Einzelnen hinreichend differenziert dargelegt, von welchen Überle- gungen sie sich leiten liess (vgl. angefochtene Verfügung S. 5 ff.). Der Be- schwerdeführer legt keine konkreten Anhaltspunkte dar, die vorinstanzli- che Sachverhaltsfeststellung i als unvollständig oder unrichtig erscheinen liessen. Der Umstand, dass der Beschwerdeführer die Schlussfolgerungen der Vorinstanz nicht teilt, beschlägt im Übrigen nicht formell-rechtliche An- sprüche, sondern die materiell-rechtliche Würdigung des Sachverhalts. Es liegt somit weder eine unvollständige oder unrichtige Feststellung des rechtserheblichen Sachverhalts vor noch ist eine Verletzung anderer Ver- fahrensrechte erkennbar.</w:t>
      </w:r>
    </w:p>
    <w:p>
      <w:r>
        <w:rPr>
          <w:b/>
        </w:rPr>
        <w:t>E. 4.3</w:t>
      </w:r>
    </w:p>
    <w:p>
      <w:r>
        <w:t>Folglich rechtfertigt sich eine Rückweisung der Sache an die Vorinstanz zur Neubeurteilung nicht. Das Eventualbegehren ist abzuweisen.</w:t>
      </w:r>
    </w:p>
    <w:p>
      <w:r>
        <w:rPr>
          <w:b/>
        </w:rPr>
        <w:t>E. 5</w:t>
      </w:r>
    </w:p>
    <w:p>
      <w:r>
        <w:t>5.1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5.1</w:t>
      </w:r>
    </w:p>
    <w:p>
      <w:r>
        <w:t>Gemäss Art. 2 Abs. 1 AsylG gewährt die Schweiz Flüchtlingen grund- sätzlich Asyl. Flüchtlinge sind Personen, die in ihrem Heimatstaat oder im</w:t>
      </w:r>
    </w:p>
    <w:p>
      <w:r>
        <w:t>D-3612/2025 Seite 5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 mens vom 28. Juli 1951 über die Rechtsstellung der Flüchtlinge (FK, SR 0.142.30) vorbehalten bleibt (Art. 3 Abs. 4 AsylG).</w:t>
      </w:r>
    </w:p>
    <w:p>
      <w:r>
        <w:rPr>
          <w:b/>
        </w:rPr>
        <w:t>E. 5.3</w:t>
      </w:r>
    </w:p>
    <w:p>
      <w:r>
        <w:t>Subjektive Nachfluchtgründe sind anzunehmen, wenn eine asylsu- chende Person erst durch die Flucht aus dem Heimat- oder Herkunftsstaat oder wegen ihres Verhaltens nach der Ausreise eine Verfolgung im Sinn von Art. 3 AsylG zu befürchten hat. Wesentlich ist, ob die heimatlichen Be- hörden das Verhalten des Asylsuchenden als staatsfeindlich einstufen und dieser deswegen bei einer Rückkehr eine Verfolgung befürchten muss. Personen mit subjektiven Nachfluchtgründen erhalten zwar kein Asyl, wer- den jedoch als Flüchtlinge vorläufig aufgenommen (Art. 54 AsylG; vgl. BVGE 2009/28 E. 7.1 m.w.H.).</w:t>
      </w:r>
    </w:p>
    <w:p>
      <w:r>
        <w:rPr>
          <w:b/>
        </w:rPr>
        <w:t>E. 5.4</w:t>
      </w:r>
    </w:p>
    <w:p>
      <w:r>
        <w:t>5.4.1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vgl. BVGE 2015/3 E. 6.5.1 sowie 2012/5 E. 2.2).</w:t>
      </w:r>
    </w:p>
    <w:p>
      <w:r>
        <w:rPr>
          <w:b/>
        </w:rPr>
        <w:t>E. 5.4.1</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vgl. BVGE 2015/3 E. 6.5.1 sowie 2012/5 E. 2.2).</w:t>
      </w:r>
    </w:p>
    <w:p>
      <w:r>
        <w:rPr>
          <w:b/>
        </w:rPr>
        <w:t>E. 5.4.2</w:t>
      </w:r>
    </w:p>
    <w:p>
      <w:r>
        <w:t>Soweit der Beschwerdeführer die Flüchtlingseigenschaft aus seiner Zugehörigkeit zur kurdischen Ethnie ableiten will, ist festzuhalten, dass seine Vorbringen den Anforderungen an die Flüchtlingseigenschaft nach Art. 3 AsylG nicht standzuhalten vermögen, weshalb vorab auf die ausführ- lichen sowie zutreffenden Erwägungen der Vorinstanz zu verweisen ist (vgl. angefochtene Verfügung S. 5–9). Die vorinstanzliche Schlussfolge- rung ist sodann in rechtlicher Hinsicht nicht zu beanstanden. Die</w:t>
      </w:r>
    </w:p>
    <w:p>
      <w:r>
        <w:t>D-3612/2025 Seite 6 Beschwerdevorbringen sowie die im Rahmen der Beschwerde eingereich- ten Beweismittel sind nicht ansatzweise geeignet, zu einer von der Vo- rinstanz abweichenden Betrachtungsweise zu gelangen, vermögen sie die- ser doch nichts Stichhaltiges entgegenzuhalten (vgl. Beschwerde S. 5 ff.). Die vom Beschwerdeführer konkret geltend gemachten Vorkommnisse er- reichen, einzeln wie auch in ihrer Gesamtheit betrachtet, nicht die für die Annahme einer asylrelevanten Verfolgung erforderliche Intensität im Sinne von Art. 3 AsylG. Vielmehr untermauert der Umstand, dass sich der Be- schwerdeführer Übergriffen an seinem Arbeitsplatz durch einen Umzug nach C._______ entziehen und die Türkei schliesslich legal auf dem Luft- weg verlassen konnte, die vorinstanzliche Schlussfolgerung, wonach er vor seiner Ausreise keiner systematischen, vom Staat ausgehenden oder die- sem zurechenbaren Verfolgung ausgesetzt war. Es ist folglich nicht davon auszugehen, dass die Beschwerdeführer bei einer Rückkehr in die Türkei deswegen ernsthaften Nachteilen ausgesetzt wäre.</w:t>
      </w:r>
    </w:p>
    <w:p>
      <w:r>
        <w:rPr>
          <w:b/>
        </w:rPr>
        <w:t>E. 5.4.3</w:t>
      </w:r>
    </w:p>
    <w:p>
      <w:r>
        <w:t>Hinsichtlich des Vorbringens, in der Türkei seien Strafverfahren ge- gen ihn eingeleitet worden und er werde wegen Propaganda für eine Ter- rororganisation (Art. 7 Abs. 2 Terörle Mücadele Kanunu [TMK]), Beleidi- gung des Präsidenten (Art. 299 Türk Ceza Kanunu [TCK]) und «Verherrli- chung von Straftaten und Straftätern» verfolgt, hat die Vorinstanz die Re- levanz der geltend gemachten Strafverfahren zutreffend anhand der Krite- rien des Referenzurteils des Bundesverwaltungsgerichts E-4103/2024 vom</w:t>
      </w:r>
    </w:p>
    <w:p>
      <w:r>
        <w:rPr>
          <w:b/>
        </w:rPr>
        <w:t>E. 5.4.4</w:t>
      </w:r>
    </w:p>
    <w:p>
      <w:r>
        <w:t>Soweit der Beschwerdeführer macht geltend, von ihm eingereichte Beweismittel seien von der Vorinstanz nicht ausreichend geprüft und zu Unrecht teilweise als Fälschungen klassifiziert worden, ohne diese einer forensischen Authentizitätsprüfung zu unterziehen, ist zunächst festzuhal- ten, dass die von ihm am (…) eingereichten Dokumente teilweise eindeu- tige Fälschungsmerkmale aufweisen. Dieser Umstand untergräbt vorab die persönliche Glaubwürdigkeit des Beschwerdeführers erheblich und be- gründet daher berechtigte Zweifel an der Authentizität auch der später nachgereichten Dokumente. Aus der Erklärung des Beschwerdeführers, er sei von einem Anwalt getäuscht worden, vermag er diesbezüglich nichts zu seinen Gunsten abzuleiten. Die Echtheit der übrigen eingereichten Doku- mente hat die Vorinstanz nicht abschliessend beurteilt, sondern lediglich dargelegt, aus welchen Gründen diese von geringer Beweisrelevanz seien (Möglichkeit der Fälschbarkeit und entgeltlichen Erwerbbarkeit). Unabhän- gig von der Echtheit der Dokumente hat die Vorinstanz ohnehin mit aus- führlicher Begründung deren Asylrelevanz verneint (vgl. dazu Urteil BVGer E-4103/2024 vom 8. November 2024 E. 9.6). Der Eventualantrag um Rück- weisung der Sache an die Vorinstanz ist abzuweisen.</w:t>
      </w:r>
    </w:p>
    <w:p>
      <w:r>
        <w:rPr>
          <w:b/>
        </w:rPr>
        <w:t>E. 5.4.5</w:t>
      </w:r>
    </w:p>
    <w:p>
      <w:r>
        <w:t>Was die vom Beschwerdeführer geltend gemachten Social-Media- Aktivitäten anbelangt, so ist zunächst festzustellen, dass die fraglichen Posts nach seiner Ausreise erstellt wurden und keinen Bezug zu seinem Militärdienst aufweisen (vgl. SEM-act. 46/2). Nach ständiger Praxis ist in diesem Zusammenhang zu prüfen, ob es sich dabei um die Fortsetzung einer bereits im Heimatstaat erkennbaren, echten Überzeugung handelt oder ob die Handlungen primär darauf abzielten, nachträglich einen Asylgrund zu schaffen (vgl. Urteile BVGer E-4103/2024 vom 8. November 2024 E. 6.3 m.H., D-890/2025 vom 28. Februar 2025 E. 7.2). Selbst wenn beim Beschwerdeführer von einer echten Überzeugung ausgegangen würde, ändert dies nichts an der vorinstanzlichen Einschätzung seines Ri- sikoprofils. Die Posts weisen zwar einen regimekritischen Inhalt auf, be- gründen für sich allein aber kein derart geschärftes oppositionelles Profil, dass die türkischen Behörden dem Beschwerdeführer ein besonderes Au- genmerk schenken dürften. Sie fügen sich in das bereits gewürdigte Bild eines niederschwelligen Profils ein und ändern nichts an der</w:t>
      </w:r>
    </w:p>
    <w:p>
      <w:r>
        <w:t>D-3612/2025 Seite 8 Schlussfolgerung, dass eine Verurteilung zu einer Strafe von asylrelevan- ter Intensität nicht mit beachtlicher Wahrscheinlichkeit zu erwarten ist. Be- treffend die Teilnahme an der Demonstration in der Schweiz und den an- geblich deswegen erlassenen internationalen Haftbefehl ist festzuhalten, dass die eingereichten Unterlagen keinen solchen Haftbefehl belegen; viel- mehr handelt sich um türkische Dokumente, welche die Ausstellung eines solchen thematisieren (vgl. SEM-act. 46/2). Die einmalige Teilnahme an einer Demonstration in der Schweiz führt bei Personen ohne bereits beste- hendes, qualifiziertes Exilengagement und ohne organisatorische Funktion nicht bereits zur Annahme subjektiver Nachfluchtgründe. Es ist folglich ist nicht davon auszugehen, dass die türkischen Behörden den Beschwerde- führer allein aufgrund dieses Umstands als derart prominenten Regime- gegner einstufen, dass ihm bei einer Rückkehr ernsthafte Nachteile im Sinne von Art. 3 AsylG drohen würden.</w:t>
      </w:r>
    </w:p>
    <w:p>
      <w:r>
        <w:rPr>
          <w:b/>
        </w:rPr>
        <w:t>E. 5.5</w:t>
      </w:r>
    </w:p>
    <w:p>
      <w:r>
        <w:t>Zusammenfassend liegen keine konkreten Hinweise darauf vor, dass der Beschwerdeführer einer asylbeachtlichen Verfolgung oder einer ent- sprechenden Verfolgungsgefahr ausgesetzt war oder im Falle seiner Rück- kehr in die Türkei ernsthafte Nachteile im Sinne von Art. 3 Abs. 2 AsylG zu gewärtigen hätte. Folglich hat die Vorinstanz zu Recht die Flüchtlingsei- genschaft verneint und das Asylgesuch abgelehnt. 6. 6.1 Ist der Vollzug der Wegweisung nicht zulässig, nicht zumutbar oder nicht möglich, so regelt das SEM das Anwesenheitsverhältnis nach den gesetzlichen Bestimmungen über die vorläufige Aufnahme (Art. 44 AsylG; Art. 83 Abs. 1 AIG [SR 142.20]). 6.2 Der Vollzug ist nicht zulässig, wenn völkerrechtliche Verpflichtungen der Schweiz einer Weiterreise der Ausländerin oder des Ausländers in den Heimat-, Herkunfts- oder einen Drittstaat entgegenstehen (Art. 83 Abs. 3 AIG). Da es dem Beschwerdeführer nicht gelungen ist, eine asylrechtlich erheb- liche Gefährdung nachzuweisen oder glaubhaft zu machen, findet der in Art. 5 AsylG verankerte Grundsatz der Nichtrückschiebung im vorliegenden Verfahren keine Anwendung. Eine Rückkehr des Beschwerdeführers in den Heimatstaat ist demnach unter dem Aspekt von Art. 5 AsylG rechtmäs- sig. Sodann ergeben sich weder aus den Aussagen des Beschwerdefüh- rers noch aus den Akten Anhaltspunkte dafür, dass er für den Fall einer Ausschaffung in den Heimatstaat dort mit beachtlicher Wahrscheinlichkeit</w:t>
      </w:r>
    </w:p>
    <w:p>
      <w:r>
        <w:t>D-3612/2025 Seite 9 einer nach Art. 3 EMRK oder Art. 1 des Übereinkommens vom 10. Dezem- ber 1984 gegen Folter und andere grausame, unmenschliche oder ernied- rigende Behandlung oder Strafe (FoK, SR 0.105) verbotenen Strafe oder Behandlung ausgesetzt wäre. Auch die allgemeine Menschenrechtssitua- tion im Heimatstaat lässt den Wegweisungsvollzug zum heutigen Zeitpunkt nicht als unzulässig erscheinen. Nach dem Gesagten ist der Vollzug der Wegweisung sowohl im Sinne der asyl- als auch der völkerrechtlichen Bestimmungen zulässig. 6.3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Weder die allgemeine Lage in der Türkei noch individuelle Gründe wirt- schaftlicher oder sozialer Natur lassen auf eine konkrete Gefährdung des Beschwerdeführers im Fall einer Rückkehr schliessen. Diesbezüglich kann vollumfänglich auf die zutreffenden und überzeugenden vorinstanzlichen Ausführungen verwiesen werden (vgl. angefochtene Verfügung S. 8 f.). Der Beschwerdeführer verfügt über langjährige Arbeitserfahrung als (…) sowie ein familiäres Beziehungsnetz und zahlreiche Freunde in der Türkei, bei welchen er während seines dortigen Aufenthalts hat leben können. Es ist zudem davon auszugehen, dass es ihm angesichts seines Alters, seiner Ausbildung und Berufserfahrungen möglich sein wird, einer Erwerbstätig- keit nachgehen zu können und er damit bei einer Rückkehr in die in keine existenzbedrohende Notlage geraten dürfte. Es liegen sodann keine ge- sundheitlichen Gründe vor, welche gegen die Zumutbarkeit des Wegwei- sungsvollzugs sprechen würden. Damit erweist sich auch der Vollzug der Wegweisung als zumutbar. 6.4 Schliesslich verfügt der Beschwerdeführer über eine Identitätskarte und es obliegt es ihm, sich bei der zuständigen Vertretung des Heimatstaa- tes die für eine Rückkehr allfällige weitere notwendige Reisedokumente zu beschaffen (vgl. Art. 8 Abs. 4 AsylG und dazu auch BVGE 2008/34 E. 12), weshalb der Vollzug der Wegweisung auch als möglich zu bezeichnen ist (Art. 83 Abs. 2 AIG). 6.5 Zusammenfassend hat die Vorinstanz den Wegweisungsvollzug zu Recht als zulässig, zumutbar und möglich bezeichnet. Eine Anordnung der</w:t>
      </w:r>
    </w:p>
    <w:p>
      <w:r>
        <w:t>D-3612/2025 Seite 10 vorläufigen Aufnahme fällt somit ausser Betracht (Art. 83 Abs. 1–4 AIG). Das Eventualbegehren ist abzuweisen. 7.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6</w:t>
      </w:r>
    </w:p>
    <w:p>
      <w:r>
        <w:t>6.1 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Der Vollzug ist nicht zulässig, wenn völkerrechtliche Verpflichtungen der Schweiz einer Weiterreise der Ausländerin oder des Ausländers in den Heimat-, Herkunfts- oder einen Drittstaat entgegenstehen (Art. 83 Abs. 3 AIG). Da es dem Beschwerdeführer nicht gelungen ist, eine asylrechtlich erhebliche Gefährdung nachzuweisen oder glaubhaft zu machen, findet der in Art. 5 AsylG verankerte Grundsatz der Nichtrückschiebung im vorliegenden Verfahren keine Anwendung.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Weder die allgemeine Lage in der Türkei noch individuelle Gründe wirtschaftlicher oder sozialer Natur lassen auf eine konkrete Gefährdung des Beschwerdeführers im Fall einer Rückkehr schliessen. Diesbezüglich kann vollumfänglich auf die zutreffenden und überzeugenden vorinstanzlichen Ausführungen verwiesen werden (vgl. angefochtene Verfügung S. 8 f.). Der Beschwerdeführer verfügt über langjährige Arbeitserfahrung als (...) sowie ein familiäres Beziehungsnetz und zahlreiche Freunde in der Türkei, bei welchen er während seines dortigen Aufenthalts hat leben können. Es ist zudem davon auszugehen, dass es ihm angesichts seines Alters, seiner Ausbildung und Berufserfahrungen möglich sein wird, einer Erwerbstätigkeit nachgehen zu können und er damit bei einer Rückkehr in die in keine existenzbedrohende Notlage geraten dürfte. Es liegen sodann keine gesundheitlichen Gründe vor, welche gegen die Zumutbarkeit des Wegweisungsvollzugs sprechen würden. Damit erweist sich auch der Vollzug der Wegweisung als zumutbar.</w:t>
      </w:r>
    </w:p>
    <w:p>
      <w:r>
        <w:rPr>
          <w:b/>
        </w:rPr>
        <w:t>E. 6.4</w:t>
      </w:r>
    </w:p>
    <w:p>
      <w:r>
        <w:t>Schliesslich verfügt der Beschwerdeführer über eine Identitätskarte und es obliegt es ihm, sich bei der zuständigen Vertretung des Heimatstaates die für eine Rückkehr allfällige weitere notwendige Reisedokumente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November 2024 geprüft. Zwar wurde gegen den Beschwerdeführer of- fenbar ein Gerichtsverfahren eröffnet, jedoch erreicht die Wahrscheinlich- keit einer Verurteilung zu einer unbedingten Freiheitsstrafe von erhebli- chem Ausmass nicht den erforderlichen Grad der asylbeachtlichen Wahr- scheinlichkeit (vgl. Urteil BVGer E-4103/2024 vom 8. November 2024 E. 8.1, 8.4.3 f.). Die Strafrahmen bei Ersttätern ohne geschärftes oppositio- nelles Profil – wie dem Beschwerdeführer – werden in der Regel nicht aus- geschöpft; Strafen werden häufig bedingt ausgesprochen oder deren Ver- kündung wird aufgeschoben (vgl. a.a.o. E. 8.7.1 f.). Der blosse Umstand, dass mehrere Verfahren hängig sind, vermag daran nichts zu ändern, zu- mal es an jeglichen Anzeichen für ein qualifiziertes politisches oder oppo- sitionelles Profil des Beschwerdeführers fehlt, welches das Risiko einer exemplarisch harten Bestrafung erhöhen würde. Daran ändert auch sein Vorbringen nichts, gegen ihn sei ein Vorführbefehl ausgestellt worden (vgl. SEM-act. 46/2). Wie die Vorinstanz korrekt festgestellt hat, dient ein solcher Befehl primär der Einvernahme und führt bei Delikten der vorliegenden Art nach aktueller Praxis nicht regelmässig zu einer Untersuchungshaft. Die Behauptung, der Vorführbefehl sei zwecks direkter Inhaftierung ausgestellt</w:t>
      </w:r>
    </w:p>
    <w:p>
      <w:r>
        <w:t>D-3612/2025 Seite 7 worden, ist aktenmässig nicht belegt und widerspricht der gängigen Praxis (vgl. Urteile BVGer D-994/2024 vom 10. April 2024 E. 6.3, E-1472/2024 vom 12. April 2024 E. 6.2). Dass er mit internationalem Haftbefehl gesucht werde, ist eine durch nichts belegte Behauptung für welche den Akten keine Anhaltspunkte zu entnehmen sind.</w:t>
      </w:r>
    </w:p>
    <w:p>
      <w:r>
        <w:rPr>
          <w:b/>
        </w:rPr>
        <w:t>E. 8.1</w:t>
      </w:r>
    </w:p>
    <w:p>
      <w:r>
        <w:t>Der Beschwerdeführer ersucht um Gewährung der unentgeltlichen Pro- zessführung im Sinne von Art. 65 Abs. 1 VwVG. Da seine Begehren aus den vorstehenden Erwägungen als aussichtslos zu gelten haben, ist eine der kumulativ erforderlichen Voraussetzungen nicht erfüllt. Das Gesuch ist abzuweisen.</w:t>
      </w:r>
    </w:p>
    <w:p>
      <w:r>
        <w:rPr>
          <w:b/>
        </w:rPr>
        <w:t>E. 8.2</w:t>
      </w:r>
    </w:p>
    <w:p>
      <w:r>
        <w:t>Bei diesem Verfahrensausgang sind die Kosten dem Beschwerdefüh- rer aufzuerlegen (Art. 63 Abs. 1 VwVG) und auf Fr. 750.– festzusetzen (Art. 1–3 des Reglements vom 21. Februar 2008 über die Kosten und Ent- schädigungen vor dem Bundesverwaltungsgericht [VGKE, SR 173.320.2]). Mit dem vorliegenden Urteil wird der Antrag auf Kostenvorschussverzicht gegenstandslos.</w:t>
      </w:r>
    </w:p>
    <w:p>
      <w:r>
        <w:t>(Dispositiv nächste Seite)</w:t>
      </w:r>
    </w:p>
    <w:p>
      <w:r>
        <w:t>D-3612/2025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