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D-3612/2018 vom 17. April 2019</w:t>
      </w:r>
    </w:p>
    <w:p>
      <w:r>
        <w:t>Bundesverwaltungsgericht, 2019-04-17, DE</w:t>
      </w:r>
    </w:p>
    <w:p>
      <w:r>
        <w:rPr>
          <w:b/>
        </w:rPr>
        <w:t xml:space="preserve">Quelle: </w:t>
      </w:r>
      <w:r>
        <w:t>https://mcp.opencaselaw.ch/entscheid/bvger_D-3612_2018</w:t>
      </w:r>
    </w:p>
    <w:p>
      <w:r>
        <w:t>FR: TAF D-3612/2018 du 17 avril 2019</w:t>
      </w:r>
    </w:p>
    <w:p>
      <w:r>
        <w:t>IT: TAF D-3612/2018 del 17 aprile 2019</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Für das vorliegende Verfahren gilt das bisherige Recht (vgl. Abs. 1 der Übergangsbestimmungen zur Änderung des AsylG vom 25. September 2015).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Vernehmlassung der Vorinstanz vom 9. April 2019 wurde dem Beschwerdeführer bisher nicht zur Kenntnis gebracht. Auf die vorgängige Einholung einer Stellungnahme in diesem Zusammenhang kann gestützt auf Art. 30 Abs. 2 Bst. c VwVG jedoch verzichtet werden. Die Vernehmlassung wird dem Beschwerdeführer zusammen mit dem Urteil zur Kenntnis zugeschickt.</w:t>
      </w:r>
    </w:p>
    <w:p>
      <w:r>
        <w:rPr>
          <w:b/>
        </w:rPr>
        <w:t>E. 4.1</w:t>
      </w:r>
    </w:p>
    <w:p>
      <w:r>
        <w:t>Der Beschwerdeführer rügt in formeller Hinsicht eine Verletzung des rechtlichen Gehörs und des Willkürverbots sowie die unrichtige und unvollständige Sachverhaltsfeststellung und damit einhergehend eine Verletzung des Untersuchungsgrundsatzes. Diese Rügen sind vorab zu prüfen, da sie gegebenenfalls geeignet sind, die Feststellung der Nichtigkeit respektive eine Kassation der vorinstanzlichen Verfügung zu bewirken (vgl. Kölz/Häner/Bertschi, Verwaltungsverfahren und Verwaltungsrechtspflege des Bundes; 3. Aufl. 2013, Rz. 1043 ff. m.w.H.).</w:t>
      </w:r>
    </w:p>
    <w:p>
      <w:r>
        <w:rPr>
          <w:b/>
        </w:rPr>
        <w:t>E. 4.2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4.3</w:t>
      </w:r>
    </w:p>
    <w:p>
      <w:r>
        <w:t>Der Beschwerdeführer macht geltend, sein Anspruch auf rechtliches Gehör sei verletzt worden, da sein damaliger Rechtsvertreter im vorinstanzlichen Verfahren nicht zur Anhörung vom 12. Oktober 2016 vorgeladen worden sei und da die Vorinstanz auch nie eine neue Anhörung durchgeführt habe.</w:t>
      </w:r>
    </w:p>
    <w:p>
      <w:r>
        <w:rPr>
          <w:b/>
        </w:rPr>
        <w:t>E. 4.4</w:t>
      </w:r>
    </w:p>
    <w:p>
      <w:r>
        <w:t>Gemäss Art. 11 Abs. 3 VwVG ist die Behörde bei Vorliegen eines Vertretungsverhältnisses verpflichtet, Mitteilungen an den Vertreter (nicht an den Vertretenen) zu machen. Der Begriff der "Mitteilung" umfasst sowohl die Zustellung von Verfügungen und Entscheiden als auch von Einladungen zur Mitwirkung oder Aufforderungen zur Stellungnahme (vgl. Res Nyffenegger, in: Auer/Müller/Schindler [Hrsg.], Kommentar zum Bundesgesetz über das Verwaltungsverfahren, Art. 11 Rz. 23). Die Vorinstanz wäre daher gehalten gewesen, die Vorladung für die Anhörung zu den Asylgründen dem damaligen Rechtsvertreter zuzustellen respektive diesen anzufragen, ob er an der Anhörung teilnehmen werde. Stattdessen wurde die Vorladung vom 23. September 2016 direkt dem Beschwerdeführer zugestellt (vgl. [...]). Zu Beginn der Anhörung wurde der Beschwerdeführer lediglich gefragt, ob der damalige Rechtsvertreter informiert sei, dass er heute den Anhörungstermin wahrnehme, wobei er nicht darauf hingewiesen wurde, dass die Vorladung eigentlich an die Rechtsvertretung hätte zugestellt werden sollen. Der Beschwerdeführer erklärte, dass seine Schwester, die bei der besagten Rechtsvertretung lebe, gesagt habe, dieser wolle nicht kommen und dass der Rechtsvertreter Bescheid wisse (vgl. [...]), und verneinte anschliessend die Frage, ob es für ihn kein Problem sei, dass seine Rechtsvertretung nicht anwesend sei (vgl. [...]). Die Vorinstanz qualifizierte diese Äusserung jedoch offensichtlich als ungenügend, da sie mit (an den damaligen Rechtsvertreter adressiertem) Schreiben vom 23. Dezember 2016 den Beschwerdeführer sowie seinen Rechtsvertreter ersuchte, zusätzlich zur mündlichen Äusserung, schriftlich den Verzicht auf die Durchführung einer neuen Anhörung zu erklären, damit das Verfahren "nicht mit einem Verfahrensmangel belastet" sei. Die Vorinstanz teilte zudem in selbigen Schreiben mit, dass man ohne Einreichung der Verzichtserklärung bis zum 20. Februar 2017 einen neuen Anhörungstermin ansetzen werde (vgl. [...]). Die entsprechend vorbereitete Verzichtserklärung wurde durch die damalige Rechtsvertretung beziehungsweise den Beschwerdeführer jedoch nicht retourniert, weshalb der Beschwerdeführer in der Folge in guten Treuen davon ausgehen durfte, dass ein neuer Anhörungstermin angesetzt würde. Entgegen ihrer Ankündigung, bei Nichteinreichung der schriftlichen Verzichtserklärung einen neuen Anhörungstermin anzusetzen, erliess die Vorinstanz am 18. Mai 2018 jedoch direkt den Asylentscheid, womit sie sich klar treuwidrig verhielt. Abschliessend ist festzuhalten, dass die Argumentation der Vorinstanz auf Vernehmlassungsstufe, wonach der Beschwerdeführer sich damit einverstanden erklärt habe, dass die Anhörung ohne seine damalige Rechtsvertretung stattfinde, nicht zu überzeugen vermag, beruft sie sich doch auf einen Verfahrensschritt, den sie zuvor selbst als mangelbehaftet qualifiziert hat. Auch hat sie in keiner Weise begründet, warum sie entgegen ihrer Ankündigung keine erneute Anhörung durchgeführt hat.</w:t>
      </w:r>
    </w:p>
    <w:p>
      <w:r>
        <w:rPr>
          <w:b/>
        </w:rPr>
        <w:t>E. 5</w:t>
      </w:r>
    </w:p>
    <w:p>
      <w:r>
        <w:t>Nach dem Gesagten ist die Beschwerde insofern gutzuheissen, als mit ihr die Aufhebung der angefochtenen Verfügung beantragt wird, und die Sache ist zur Durchführung der erforderlichen Verfahrensschritte und zur erneuten Beurteilung an die Vorinstanz zurückzuweisen. Es erübrigt sich damit, auf die weiteren mit der Beschwerdeschrift geltend gemachten Rügen einzugehen.</w:t>
      </w:r>
    </w:p>
    <w:p>
      <w:r>
        <w:rPr>
          <w:b/>
        </w:rPr>
        <w:t>E. 6.1</w:t>
      </w:r>
    </w:p>
    <w:p>
      <w:r>
        <w:t>Bei diesem Ausgang des Verfahrens sind keine Kosten zu erheben (Art. 63 Abs. 1 und 2 VwVG). Der am 8. Oktober 2018 geleistete Kostenvorschuss von Fr. 1'500.- ist dem Beschwerdeführer zurückzuerstatten.</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vom 21. Februar 2008 über die Kosten und Entschädigungen vor dem Bundesverwaltungsgericht [VGKE, SR 173.320.2]). Seitens des Rechtsvertreters des Beschwerdeführers wurde keine Kostennote eingereicht. Auf die Nachforderung einer solchen wird indessen verzichtet (vgl. Art. 14 Abs. 2 VGKE), weil im vorliegenden Verfahren der Vertretungsaufwand zuverlässig abgeschätzt werden kann, wobei nur der notwendige Aufwand zu entschädigen ist. Vorliegend erfolgte die Kassation aufgrund eines Verfahrensmangels. Gestützt auf die in Betracht zu ziehenden Bemessungsfaktoren (Art. 9-13 VGKE) sind dem Beschwerdeführer Fr. 1'500.- (inkl. Auslagen und Mehrwertsteuer) als Parteientschädigung zuzusprechen.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