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D-3610/2014 vom 24. März 2015</w:t>
      </w:r>
    </w:p>
    <w:p>
      <w:r>
        <w:t>Bundesverwaltungsgericht, 2015-03-24, DE</w:t>
      </w:r>
    </w:p>
    <w:p>
      <w:r>
        <w:rPr>
          <w:b/>
        </w:rPr>
        <w:t xml:space="preserve">Quelle: </w:t>
      </w:r>
      <w:r>
        <w:t>https://mcp.opencaselaw.ch/entscheid/bvger_D-3610_2014</w:t>
      </w:r>
    </w:p>
    <w:p>
      <w:r>
        <w:t>FR: TAF D-3610/2014 du 24 mars 2015</w:t>
      </w:r>
    </w:p>
    <w:p>
      <w:r>
        <w:t>IT: TAF D-3610/2014 del 24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Beschwerdeschrift macht der Beschwerdeführer im Wesentlichen geltend, entgegen den Ausführungen in der angefochtenen Verfügung seien seine Antworten nicht einsilbig oder ausweichend ausgefallen. Des Weiteren habe der Beschwerdeführer einen Arztbericht sowie Röntgenbilder eingereicht, welche seine Verletzungen dokumentierten. Dementsprechend sei die Verfolgungssituation ausgewiesen und glaubhaft. Darüber hinaus habe es vor allem in der ersten Befragung mit einem Hindu-sprachigen Nepali-Dolmetscher Schwierigkeiten gegeben. Die angefochtene Verfügung berufe sich diesbezüglich zu Unrecht auf die unterschriebenen Aussagen des Beschwerdeführers. Die Stress-Situation, welche Asylbewerber vor allem in ersten Befragungen und kurz nach der Einreise durchlebten, sei eine gerichtsnotorische Tatsache. Wie könne man von einer Person in dieser Lage erwarten, dass sie eine angeblich gute Verständigung nicht unterschriftlich bestätige, zumal sie vom Dolmetscher mit dem Versprechen beschwichtigt werde, es könne in der zweiten Befragung "alles" nochmals und dannzumal ausführlich dargelegt werden. Denn der Dolmetscher wolle sich sein eigenes Renommee nicht verderben lassen durch allfällige Kritik an seiner Arbeit. Ferner ändere der Hinweis in der angefochtenen Verfügung, wonach der Justizapparat im Heimatstaat des Beschwerdeführers grundsätzlich funktioniere, nichts daran, dass dieser nach der Freilassung seiner politischen Feinde jederzeit damit rechnen müsse, verfolgt, misshandelt und gepeinigt zu werden. Derlei vermöchten weder die Gerichte noch die anwaltliche Vertretung zu verhindern. Dementsprechend erfülle der Beschwerdeführer die Flüchtlingseigenschaft und das Asylgesuch sei gutzuheissen.</w:t>
      </w:r>
    </w:p>
    <w:p>
      <w:r>
        <w:rPr>
          <w:b/>
        </w:rPr>
        <w:t>E. 5.2.1</w:t>
      </w:r>
    </w:p>
    <w:p>
      <w:r>
        <w:t>Entgegen seinen Vorbringen in der Beschwerdeschrift muss sich der Beschwerdeführer bei seinen Erklärungen, wie sie in die Protokolle Eingang gefunden haben, behaften lassen. Auch das Protokoll der BzP wurde ihm nämlich nach Abschluss der Befragung Wort für Wort in seine Muttersprache (Nepali) rückübersetzt. Bei dieser Gelegenheit hätte er auf allfällige Unstimmigkeiten aufmerksam werden müssen, sie korrigieren oder auch Ergänzungen anbringen können. Der Umstand, dass er keinen Anlass zu irgendwelchen Korrekturen sah, lässt den Schluss zu, dass der Protokollinhalt seinen Vorbringen entspricht. Ausserdem hat es, wie dem Protokoll zu entnehmen ist, keinen "Beschwichtigungsversuch" des Dolmetschers gegeben, denn auch ein solcher müsste aus dem Protokoll hervorgehen.</w:t>
      </w:r>
    </w:p>
    <w:p>
      <w:r>
        <w:rPr>
          <w:b/>
        </w:rPr>
        <w:t>E. 5.2.2</w:t>
      </w:r>
    </w:p>
    <w:p>
      <w:r>
        <w:t>Die Vorbringen in der Beschwerdeschrift vermögen nicht zu einer veränderten Betrachtungsweise zu führen, zumal sich der Beschwerdeführer bereits hinsichtlich des Reisewegs wirklichkeitsfremd geäussert hat (vgl. Akten BFM A5/12 Ziff. 5.02 S. 7). Bezeichnenderweise war er nicht in der Lage, den schweizerischen Asylbehörden den von ihm kurz vor der Ausreise beschafften nepalesischen Reisepass (A5/12 Ziff. 4.02 S. 6), den er für die Reise nach Europa benutzt habe, zu übergeben. Angesichts seiner Vorbringen hätte er indessen dazu in der Lage sein müssen, zumal nicht davon auszugehen ist, jemand benötige einen Schlepper, um einen Flug zu absolvieren und den Reisepass vom Schlepper vorzeigen zu lassen. Dementsprechend hinterlassen seine Vorbringen zum Reiseweg einen wirklichkeitsfremden Eindruck. Sie sind praxisgemäss nicht lediglich als isolierte, unglaubhafte Vorbringen zu würdigen, sondern lassen darüber hinaus auch Rückschlüsse auf die Glaubhaftigkeit einer geltend gemachten Verfolgungssituation zu (Entscheidungen und Mitteilungen der Schweizerischen Asylrekurskommission [EMARK] 1998 Nr. 17 E. 4b S. 150). Dies bestätigt sich auch im vorliegenden Fall, drängt sich doch aufgrund der Akten keinesfalls der Schluss auf, der Beschwerdeführer habe sich lediglich bezüglich des Reisewegs unglaubhaft geäussert.</w:t>
      </w:r>
    </w:p>
    <w:p>
      <w:r>
        <w:rPr>
          <w:b/>
        </w:rPr>
        <w:t>E. 5.2.3</w:t>
      </w:r>
    </w:p>
    <w:p>
      <w:r>
        <w:t>Nicht zuletzt die Vorbringen des Beschwerdeführers anlässlich der Direktanhörung vom 22. Oktober 2013 können nicht geglaubt werden, hat sich dieser doch anlässlich ein- und derselben Anhörung sowie innerhalb kurzer Zeit völlig widersprüchlich zur angeblichen Verfolgungssituation geäussert (A19/14 F40 S. 6, F47, F49 S. 7). So machte er zunächst geltend, die Übeltäter hätten ihn an Festen, anlässlich von persönlichen Begegnungen, mit Drohungen und Einschüchterungen eingedeckt, und dies sei ein- bis zweimal im Monat vorgekommen. Angesprochen auf die persönlichen Begegnungen bei Festen führte er dann aber auch aus: "Ich dachte nur, wenn ich im nächsten Dorf ein Fest besuche, könnte ich diesen Leuten begegnen und könnte geschlagen werden. Solche Angst hatte ich ständig." Dementsprechend wäre es gar nicht zu persönlichen Begegnungen gekommen, was indessen in Widerspruch zu den eingangs erwähnten Vorbringen steht und den Eindruck aufkommen lässt, der Beschwerdeführer habe bei seinen Schilderungen nicht auf Erinnerungen an tatsächliche Begebenheiten zurückgreifen können, sondern stattdessen eine Verfolgungssituation lediglich erfunden. Auch das vom Beschwerdeführer eingereichte Arztzeugnis wie auch die Röntgenaufnahmen vermögen nicht zu einer anderen Betrachtungsweise zu führen, erbringen sie doch keinen Beweis für die geltend gemachte Verfolgungssituation, sondern lediglich für einen medizinischen Befund, der keine Rückschlüsse auf die Begleitumstände ermöglicht, unter denen die festgestellten Verletzungen zustande gekommen sind. Auch das Urteil vom 22. Dezember 2009 erbringt keinerlei Beweis für eine Verfolgung des Beschwerdeführers; vielmehr drängt sich grundsätzlich der Eindruck auf, der Heimatstaat sei schutzwillig und schutzfähig, was sich beispielsweise gerade darin zeigt, dass sich die Justiz von haltlosen Anschuldigen mehrerer Personen nicht instrumentalisieren lässt. Bei dieser Sachlage erübrigt es sich, auf weitere Vorbringen und Beweismittel einzugehen. Stattdessen kann auf die zutreffenden Erwägungen in der angefochtenen Verfügung verwiesen werden.</w:t>
      </w:r>
    </w:p>
    <w:p>
      <w:r>
        <w:rPr>
          <w:b/>
        </w:rPr>
        <w:t>E. 5.3</w:t>
      </w:r>
    </w:p>
    <w:p>
      <w:r>
        <w:t>Zusammenfassend ist somit festzuhalten, dass die Asylvorbringen des Beschwerdeführers an das Glaubhaftmachen im Sinne von Art. 7 AsylG nicht genügen. Das BFM hat das Asylgesuch des Beschwerdeführers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Weder herrscht in Nepal eine Situation allgemeiner Gewalt noch besteht aufgrund der Akten Grund zur Annahme, der Beschwerdeführer gerate im Falle einer Rückkehr nach Nepal aus individuellen Gründen wirtschaftlicher, sozialer oder gesundheitlicher Natur in eine existenzbedrohende Situation, die den Vollzug der Wegweisung unzumutbar erscheinen liesse. Vielmehr ist aus den Akten ersichtlich, dass der Beschwerdeführer in Nepal zehn Jahre lang die Schule besucht und für seine dreiköpfige Familie ein Auskommen als (...) gefunden hat (vgl. A5/12 Ziff. 1.17.04 S. 4). Im Übrigen ist davon auszugehen, der Beschwerdeführer verfüge in Nepal nicht nur mit seiner Familie über ein soziales Netz (A5/12 Ziff. 3 S. 5/6), sondern auch mit den Verwandten seiner Ehefrau.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