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D-3608/2015 vom 20. Oktober 2016</w:t>
      </w:r>
    </w:p>
    <w:p>
      <w:r>
        <w:t>Bundesverwaltungsgericht, 2016-10-20, DE</w:t>
      </w:r>
    </w:p>
    <w:p>
      <w:r>
        <w:rPr>
          <w:b/>
        </w:rPr>
        <w:t xml:space="preserve">Quelle: </w:t>
      </w:r>
      <w:r>
        <w:t>https://mcp.opencaselaw.ch/entscheid/bvger_D-3608_2015</w:t>
      </w:r>
    </w:p>
    <w:p>
      <w:r>
        <w:t>FR: TAF D-3608/2015 du 20 octobre 2016</w:t>
      </w:r>
    </w:p>
    <w:p>
      <w:r>
        <w:t>IT: TAF D-3608/2015 del 20 ottobre 2016</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Auf das vorliegende Verfahren findet das alte Recht Anwendung (vgl. Übergangsbestimmungen zur Änderung des Asylgesetzes vom 14. Dezember 2012 Abs. 2).</w:t>
      </w:r>
    </w:p>
    <w:p>
      <w:r>
        <w:rPr>
          <w:b/>
        </w:rPr>
        <w:t>E. 5</w:t>
      </w:r>
    </w:p>
    <w:p>
      <w:r>
        <w:t>Das Wiedererwägungsverfahren ist im Asylrecht mittlerweile spezialgesetzlich geregelt (vgl. Art. 111b ff. AsylG, die allerdings im vorliegenden Verfahren aufgrund der erwähnten Übergangsbestimmung nicht zur Anwendung kommen können). In seiner praktisch relevantesten Form bezweckt das Wiedererwägungsgesuch die Änderung einer ursprünglich fehlerfreien Verfügung an eine nachträglich eingetretene erhebliche Veränderung der Sachlage (vgl. EMARK 1995 Nr. 21 E. 1 S. 202 ff.).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etwa EMARK 2003 Nr. 17 E. 2.a S. 103 f. m.w.H.).</w:t>
      </w:r>
    </w:p>
    <w:p>
      <w:r>
        <w:rPr>
          <w:b/>
        </w:rPr>
        <w:t>E. 6.1</w:t>
      </w:r>
    </w:p>
    <w:p>
      <w:r>
        <w:t>Vorweg ist festzuhalten, dass vorliegend angesichts der Sachurteile D 3947/2012 sowie D-6404/2012 lediglich eine nachträglich veränderte Sachlage, nicht aber Revisionsgründe im Sinne eines qualifizierten Wiedererwägungsgesuchs geltend gemacht werden können, zumal sich der Beschwerdeführer nicht auf Revisionsgründe berufen hat.</w:t>
      </w:r>
    </w:p>
    <w:p>
      <w:r>
        <w:rPr>
          <w:b/>
        </w:rPr>
        <w:t>E. 6.2</w:t>
      </w:r>
    </w:p>
    <w:p>
      <w:r>
        <w:t>Nachdem das SEM den Anspruch des Beschwerdeführers auf Behandlung des Wiedererwägungsgesuchs nicht in Abrede gestellt hat, was in der Beschwerde nicht bestritten wird, und dieses abgelehnt hat, hat das Bundesverwaltungsgericht zu prüfen, ob das SEM in zutreffender Weise das Bestehen der geltend gemachten Wiedererwägungsgründe verneint und an seiner ursprünglichen Verfügung vom 22. Juni 2012 festgehalten hat, wobei praxisgemäss der sich präsentierende Sachverhalt im Urteilszeitpunkt massgebend ist.</w:t>
      </w:r>
    </w:p>
    <w:p>
      <w:r>
        <w:rPr>
          <w:b/>
        </w:rPr>
        <w:t>E. 6.3</w:t>
      </w:r>
    </w:p>
    <w:p>
      <w:r>
        <w:t>Vorliegend gelangt das Gericht zum Schluss, dass offensichtlich keine erheblich veränderte Sachlage im Asylpunkt im wiedererwägungsrechtlichen Sinne vorliegt. Zur Vermeidung von Wiederholungen kann an dieser Stelle auf die Erwägungen in der angefochtenen Verfügung (vgl. vorstehend Bst. C.a und C.b) sowie in der Zwischenverfügung des Bundesverwaltungsgerichts vom 16. Juni 2015 verwiesen werden. Auch liegen gestützt auf die vorangehenden Erwägungen keine Gründe vor, die eine neue Beurteilung aufdrängen würden. Das Gericht stellt in Übereinstimmung mit dem SEM fest, dass es dem Beschwerdeführer nicht gelungen ist, die erneut geltend gemachte Vorverfolgung in Sri Lanka sowie sein erstmals geltend gemachtes exilpolitisches Engagement in der Schweiz glaubhaft darzulegen. Schliesslich ist festzuhalten, dass ein Wiederwägungsgesuch nicht dazu dienen darf, die Verbindlichkeit eines (rechtskräftigen) Verwaltungsentscheides fortlaufend in Frage zu stellen (vgl. dazu die weiterhin zutreffende Praxis unter EMARK 2003 Nr. 17 E. 2b S. 104), weshalb auf die übrigen Ausführungen in der Beschwerde sowie auf die auf Beschwerdeebene eingereichten Beweismittel nicht näher einzugehen ist.</w:t>
      </w:r>
    </w:p>
    <w:p>
      <w:r>
        <w:rPr>
          <w:b/>
        </w:rPr>
        <w:t>E. 7</w:t>
      </w:r>
    </w:p>
    <w:p>
      <w:r>
        <w:t>Der Beschwerdeführer hat am 6. November 2013 eine sri-lankische Staatsangehörige geheiratet.</w:t>
      </w:r>
    </w:p>
    <w:p>
      <w:r>
        <w:rPr>
          <w:b/>
        </w:rPr>
        <w:t>E. 7.1</w:t>
      </w:r>
    </w:p>
    <w:p>
      <w:r>
        <w:t>Ist eine Asyl suchende Person im Besitz einer gültigen Aufenthalts- oder Niederlassungsbewilligung oder hat sie einen aktuellen allfälligen Anspruch auf eine solche, ist die Wegweisung nicht zu verfügen.</w:t>
      </w:r>
    </w:p>
    <w:p>
      <w:r>
        <w:rPr>
          <w:b/>
        </w:rPr>
        <w:t>E. 7.2</w:t>
      </w:r>
    </w:p>
    <w:p>
      <w:r>
        <w:t>Eine Asyl suchende Person darf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einleiten (Art. 14 Abs. 1 AsylG), ausser sie hat Anspruch auf deren Erteilung. In diesem Fall geht einerseits die Zuständigkeit zur Verfügung der Wegweisung aus der Schweiz von den Asylbehörden auf die zuständige kantonale Ausländerbehörde über, welche über die Erteilung einer Aufenthaltsbewilligung zu befinden hat. Andererseits ist die Wegweisung nicht durch die Asylbehörden zu verfügen, wenn ein grundsätzlicher Anspruch auf Erteilung einer Aufenthaltsbewilligung besteht, über den konkret zu befinden die kantonale Ausländerbehörde zuständig ist.</w:t>
      </w:r>
    </w:p>
    <w:p>
      <w:r>
        <w:rPr>
          <w:b/>
        </w:rPr>
        <w:t>E. 7.3</w:t>
      </w:r>
    </w:p>
    <w:p>
      <w:r>
        <w:t>Bei derartigen Konstellationen ist vorfrageweise zu prüfen, ob sich der Asylbewerber im Sinne von Art. 14 Abs. 1 AsylG auf einen grundsätzlichen Anspruch auf Erteilung einer Aufenthaltsbewilligung beru­fen kann. Soweit nicht das Gesetz oder aber das Abkommen vom 21. Juni 1999 zwischen der Schweiz einerseits und der Europäischen Gemeinschaft und ihren Mitgliedstaaten andererseits über die Freizügig­keit (FZA, SR 0.142.112.681) einen Anspruch auf Erteilung einer Aufent­haltsbewilligung vermittelt, fällt als Anspruchsgrundlage grundsätzlich Art. 8 der Konvention vom 4. November 1950 zum Schutze der Menschenrechte und Grundfreiheiten (EMRK, SR 0.101) in Betracht.</w:t>
      </w:r>
    </w:p>
    <w:p>
      <w:r>
        <w:rPr>
          <w:b/>
        </w:rPr>
        <w:t>E. 7.4</w:t>
      </w:r>
    </w:p>
    <w:p>
      <w:r>
        <w:t>Nach Rechtsprechung des Bundesgerichts haben Ausländer ge­stützt auf Art. 8 EMRK und Art. 13 der Bundesverfassung der Schweizeri­schen Eidgenossenschaft vom 18. April 1999 (BV, SR 101) dann An­spruch auf Aufenthalt in der Schweiz, wenn intakte und tatsächlich ge­lebte Familienbanden zu nahen Verwandten bestehen, welche ihrerseits über ein gefestigtes Anwesenheitsrecht in der Schweiz verfügen. Dies ist der Fall, wenn der sich in der Schweiz aufhaltende Angehörige das Schweizer Bürgerrecht oder eine Niederlassungsbewilligung besitzt oder über eine Aufenthaltsbewilligung verfügt, die ihrerseits auf einem gefestig­ten Rechtsanspruch beruht (vgl. BGE 135 I 143 E. 1.3.1 S. 145 f., BGE 130 II 281 E. 3.1 S. 285 f.). Wer selber keinen Anspruch auf längere Anwesenheit in der Schweiz hat, vermag einen solchen grundsätzlich auch nicht Dritten zu verschaffen, selbst wenn eine gelebte familiäre Beziehung zur Diskussion steht (BGE 130 II 281 E. 33.1 S. 286). Eine Auf­enthaltsbewilligung gilt praxisgemäss als gefestigt, wenn ein gesetzlicher Anspruch auf Erteilung und Verlängerung der Bewilligung besteht.</w:t>
      </w:r>
    </w:p>
    <w:p>
      <w:r>
        <w:rPr>
          <w:b/>
        </w:rPr>
        <w:t>E. 7.5</w:t>
      </w:r>
    </w:p>
    <w:p>
      <w:r>
        <w:t>Art. 60 AsylG bestimmt, dass Personen, denen Asyl gewährt wurde, Anspruch auf Erteilung einer Aufenthaltsbewilligung im Kanton haben, in dem sie sich rechtmässig aufhalten. Die Ehefrau des Beschwerdeführers, welcher am 30. August 2013 in der Schweiz Asyl gewährt wurde, hat so­mit ein gefestigtes Anwesenheitsrecht in der Schweiz im Sinne der Recht­sprechung (vgl. BGE 122 II 1 E. 1e). Ihr wurde eine Aufenthaltsbewilligung B erteilt, welche bis am 29. August 2017 gültig ist und danach verlängert werden kann. Daraus folgt, dass der Beschwerdeführer als Ehemann einer Frau, der in der Schweiz Asyl gewährt wurde, aus Art. 8 EMRK für sich grundsätzlich einen Anspruch auf Erteilung einer Aufenthaltsbewilligung ableiten kann. Demnach ist die Wegweisung aufzuheben. Somit fällt die entsprechende Prüfungszuständigkeit gemäss den vorstehenden Ausführungen in die Hände der kantonalen Behörden.</w:t>
      </w:r>
    </w:p>
    <w:p>
      <w:r>
        <w:rPr>
          <w:b/>
        </w:rPr>
        <w:t>E. 8</w:t>
      </w:r>
    </w:p>
    <w:p>
      <w:r>
        <w:t>Nach dem Gesagten ergibt sich, dass die Beschwerde gutzuheissen ist, soweit sie die Wegweisung betrifft; im Übrigen ist sie abzuweisen. Die Verfügung des SEM vom 5. Mai 2015 ist hinsichtlich der Ziffern 4 (Wegweisung aus der Schweiz), 5 (Verlassen der Schweiz) und 6 (Voll­zug der Wegweisung) des Dispositivs aufzuheben.</w:t>
      </w:r>
    </w:p>
    <w:p>
      <w:r>
        <w:rPr>
          <w:b/>
        </w:rPr>
        <w:t>E. 9</w:t>
      </w:r>
    </w:p>
    <w:p>
      <w:r>
        <w:t>Bei diesem Ausgang des Verfahrens sind die Kosten dem Beschwerdeführer aufzuerlegen (Art. 63 Abs. 1 VwVG) und in Anbetracht des hälftigen Obsiegens auf insgesamt Fr. 600.- festzusetzen (Art. 16 Abs. 1Bst. a VGG i.V.m. Art. 2 und 3 des Reglements vom 21. Februar 2008 über die Kosten und Entschädigungen vor dem Bundesverwaltungsgericht [VGKE, SR 173.320.2]). Dieser Betrag wird dem Kostenvorschuss entnommen. Der Restbetrag von Fr. 600.- wird zurückerstattet.</w:t>
      </w:r>
    </w:p>
    <w:p>
      <w:r>
        <w:rPr>
          <w:b/>
        </w:rPr>
        <w:t>E. 10</w:t>
      </w:r>
    </w:p>
    <w:p>
      <w:r>
        <w:t>Gemäss Art. 64 Abs. 1 VwVG kann die Beschwerdeinstanz der obsie­genden Partei eine Parteientschädigung für die notwendigen und verhältnismässig hohen Kosten zusprechen. Dem vertretenen Beschwerdeführer ist angesichts seines teilweisen Obsiegens eine redu­zierte Parteientschädigung zuzusprechen (Art. 7 Abs. 2 VGKE). Der Rechtsvertreter hat keine Kostennote eingereicht, der Vertretungsauf­wand kann aufgrund der Akten jedoch zuverlässig abgeschätzt werden, weshalb auf die Einholung einer Kostennote zu verzichten ist (vgl. Art. 14 Abs. 2 VGKE). Unter Berücksichtigung der massgebenden Berechnungs­faktoren (Art. 9-11 und 13 VGKE) ist die um die Hälfte zu kürzende Partei­entschädigung auf Fr. 500.- (inklusive Auslagen und MWST) festzuset­zen. Das SEM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