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D-3606/2007 vom 25. März 2010</w:t>
      </w:r>
    </w:p>
    <w:p>
      <w:r>
        <w:t>Bundesverwaltungsgericht, 2010-03-25, DE</w:t>
      </w:r>
    </w:p>
    <w:p>
      <w:r>
        <w:rPr>
          <w:b/>
        </w:rPr>
        <w:t xml:space="preserve">Quelle: </w:t>
      </w:r>
      <w:r>
        <w:t>https://mcp.opencaselaw.ch/entscheid/bvger_D-3606_2007</w:t>
      </w:r>
    </w:p>
    <w:p>
      <w:r>
        <w:t>FR: TAF D-3606/2007 du 25 mars 2010</w:t>
      </w:r>
    </w:p>
    <w:p>
      <w:r>
        <w:t>IT: TAF D-3606/2007 del 25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die frist- und - nach erfolgter Verbesserung - -formgerecht eingereichte Beschwerde ist somit einzutreten (Art. 105 AsylG i.V.m. Art. 37 VGG und Art. 48 Abs. 1, 50 und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Rechtsvertreterin erhebt in ihrer Beschwerdeverbesserung vom 20. Juni 2007 in formeller Hinsicht vorab die Rüge, die Vorinstanz habe ihre Verfügung unzureichend begründet und damit das rechtliche Gehör der Beschwerdeführerin verletzt, weshalb die angefochtene Verfügung aufzuheben und das BFM anzuweisen sei, eine hinreichend begründete Verfügung zu erlassen (vgl. Beschwerdeverbesserung S. 4/ II.).</w:t>
      </w:r>
    </w:p>
    <w:p>
      <w:r>
        <w:rPr>
          <w:b/>
        </w:rPr>
        <w:t>E. 2.2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w:t>
      </w:r>
    </w:p>
    <w:p>
      <w:r>
        <w:rPr>
          <w:b/>
        </w:rPr>
        <w:t>E. 2.3</w:t>
      </w:r>
    </w:p>
    <w:p>
      <w:r>
        <w:t>Für den vorliegenden Fall ist festzustellen, dass die vorinstanzliche Verfügung vom 25. April 2007 hinreichend darüber Auskunft gibt, aus welchen Gründen das BFM den Schluss zog, die Beschwerdeführerin habe eine einreiserelevante Verfolgungssituation nicht glaubhaft darzutun vermocht. Unter anderem erachtete das BFM die Vorbringen der Beschwerdeführerin als widersprüchlich, ungenau und unplausibel. Es handelt sich dabei um eine Qualifizierung des Aussageverhaltens der Beschwerdeführerin, wobei das BFM in seinem Entscheid auch die Protokollstellen der fraglichen Aussagen bezeichnet (nämlich act. A11 S. 5, 6, 7, 8 und 10). Bei einer Durchsicht dieser Protokollstellen kann ohne Weiteres nachvollzogen werden, wie das BFM zu der erwähnten Einschätzung der Aussagen der Beschwerdeführerin gelangte. Bei dieser Sachlage kann keine Verletzung der Begründungspflicht festgestellt werden. Daran ändert auch der Umstand nichts, dass die Vorinstanz hinsichtlich weiterer, in unterschiedlichen Aussagen der Beschwerdeführerin und ihres in der Schweiz befindlichen Ehemannes gründender Unstimmigkeiten keine näheren Angaben machte (vgl. act. A13 E. II S. 4 Abs. 5), sind sie doch - wie das BFM unmissverständlich zu verstehen gibt - in Betrachtung der Gesamtumstände nicht von ausschlaggebender Bedeutung. Aus dem Inhalt der Beschwerdeschrift ist im Übrigen zu schliessen, dass es der Beschwerdeführerin gestützt auf die Erwägungen in der angefochtenen Verfügung durchaus möglich war, diese sachgerecht anzufechten. Der Auffassung, wonach das BFM die Begründungspflicht und damit den Anspruch der Beschwerdeführerin auf rechtliches Gehör verletzt habe, kann daher nicht gefolgt werden, weshalb der Antrag, das vorliegende Verfahren sei wegen Verletzung der Begründungspflicht an die Vorinstanz zurückzuweisen, abzuweisen ist.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(EMARK 2004 Nr. 21 E. 2b S. 137, EMARK 2004 Nr. 20 E. 3b S. 130 f., EMARK 1997 Nr. 15 E. 2f S. 131 f.).</w:t>
      </w:r>
    </w:p>
    <w:p>
      <w:r>
        <w:rPr>
          <w:b/>
        </w:rPr>
        <w:t>E. 5.1</w:t>
      </w:r>
    </w:p>
    <w:p>
      <w:r>
        <w:t>Die Beschwerdeführerin begründete ihr Asylgesuch im Wesentlichen damit, sie sei wegen ihres Ehemannes wiederholt von unbekannten, mutmasslich der LTTE zugehörigen Leuten befragt und dabei auch behelligt worden.</w:t>
      </w:r>
    </w:p>
    <w:p>
      <w:r>
        <w:rPr>
          <w:b/>
        </w:rPr>
        <w:t>E. 5.2</w:t>
      </w:r>
    </w:p>
    <w:p>
      <w:r>
        <w:t>In diesem Zusammenhang ist aus heutiger Sicht festzuhalten, dass die LTTE nach der Rückeroberung des letzten von ihr kontrollierten Gebietes im Raum Mullaitivu durch die Regierungsarmee im Mai 2009 militärisch besiegt und deren Strukturen weitgehend zerschlagen sind. Vor diesem Hintergrund geht von den LTTE aktuell keine Gefahr mehr aus, weshalb die Beschwerdeführerin ungeachtet des vom Ehemann der Beschwerdeführerin zur Begründung seines Asylgesuches geltend gemachten Sachverhalts, deren Beurteilung im Rahmen des nach wie vor erstinstanzlich hängigen Verfahrens (...) durch das BFM zu erfolgen hat, keine Nachteile seitens der LTTE mehr zu gewärtigen hat. In diesem Zusammenhang fällt denn auch auf, dass die Beschwerdeführerin seit Einreichung der Beschwerdeverbesserung vom 20. Juni 2007 keine weiteren gegen sie gerichteten Verfolgungsmassnahmen der LTTE mehr geltend gemacht hat, weshalb davon auszugehen ist, dass sie bereits seit geraumer Zeit keinen entsprechenden Behelligungen der LTTE mehr ausgesetzt gewesen ist und folglich heute keine begründete Furcht vor Verfolgung zu hegen braucht. Im Übrigen kann davon ausgegangen werden, dass der LTTE nicht verborgen geblieben ist, dass sich der Ehemann der Beschwerdeführerin ins Ausland abgesetzt hat, womit sich ihr Interesse, durch die Beschwerdeführerin dessen Aufenthaltsort in Sri Lanka in Erfahrung zu bringen, längst verflüchtigt haben dürfte.</w:t>
      </w:r>
    </w:p>
    <w:p>
      <w:r>
        <w:rPr>
          <w:b/>
        </w:rPr>
        <w:t>E. 5.3</w:t>
      </w:r>
    </w:p>
    <w:p>
      <w:r>
        <w:t>Zusammenfassend ist festzuhalten, dass es der Beschwerdeführerin nicht gelungen ist, eine aktuelle Verfolgung im Sinne von Art. 3 AsylG glaubhaft zu machen. Es erübrigt sich daher, auf die im Wesentlichen zur Entkräftung der vorinstanzlich angeführten Unglaubhaftigkeitselemente angeführten Einwände in der Beschwerdeverbesserung einzugehen, da sie am Ergebnis nichts ändern. Das BFM hat demnach der Beschwerdeführerin zu Recht die Einreise in die Schweiz verweigert beziehungsweise deren Asylgesuch abgelehnt. Bei dieser Sachlage wird auch das Gesuch, es sei der Beschwerdeführerin und ihren Kindern mittels vorsorglicher Massnahmen die Einreise in die Schweiz zu bewilligen, gegenstandslos.</w:t>
      </w:r>
    </w:p>
    <w:p>
      <w:r>
        <w:rPr>
          <w:b/>
        </w:rPr>
        <w:t>E. 5.4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dessen Kosten grundsätzlich der Beschwerdeführerin aufzuerlegen (Art. 63 Abs. 1 VwVG). Da sich die Beschwerde indessen im Zeitpunkt der Erhebung nicht als aussichtslos erwiesen hat,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