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D-3593/2011 vom 6. Juli 2011</w:t>
      </w:r>
    </w:p>
    <w:p>
      <w:r>
        <w:t>Bundesverwaltungsgericht, 2011-07-06, DE</w:t>
      </w:r>
    </w:p>
    <w:p>
      <w:r>
        <w:rPr>
          <w:b/>
        </w:rPr>
        <w:t xml:space="preserve">Quelle: </w:t>
      </w:r>
      <w:r>
        <w:t>https://mcp.opencaselaw.ch/entscheid/bvger_D-3593_2011</w:t>
      </w:r>
    </w:p>
    <w:p>
      <w:r>
        <w:t>FR: TAF D-3593/2011 du 6 juillet 2011</w:t>
      </w:r>
    </w:p>
    <w:p>
      <w:r>
        <w:t>IT: TAF D-3593/2011 del 6 luglio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 ist legitimiert; auf ihre frist- und formgerecht ein-gereichte Beschwerde ist einzutreten (Art. 105 AsylG und Art. 37 VGG i.V.m. Art. 48 Abs. 1, Art. 50 und 52 VwVG).</w:t>
      </w:r>
    </w:p>
    <w:p>
      <w:r>
        <w:rPr>
          <w:b/>
        </w:rPr>
        <w:t>E. 3</w:t>
      </w:r>
    </w:p>
    <w:p>
      <w:r>
        <w:t>Im vorliegenden Fall ist ausschliesslich zu prüfen, ob die Vorinstanz mit der angefochtenen Verfügung auf das Gesuch um Familienzusammenführung vom 3. März 2011 zu Recht nicht eingetreten ist.</w:t>
      </w:r>
    </w:p>
    <w:p>
      <w:r>
        <w:rPr>
          <w:b/>
        </w:rPr>
        <w:t>E. 3.1</w:t>
      </w:r>
    </w:p>
    <w:p>
      <w:r>
        <w:t>Das BFM begründet sein Nichteintreten in der angefochtenen Verfügung folgendermassen: Gemäss Art. 7 VwVG prüfe eine Behörde ihre Zuständigkeit von Amtes wegen. Die Behörde, die sich als unzuständig erachte, trete gemäss Art. 9 Abs. 2 VwVG durch eine Verfügung auf die Sache nicht ein. Mit dem Gesuch um Familiennachzug sei durch die Beschwerdeführerin keine Gefährdung ihres Kindes (sic) geltend gemacht worden. Es handle sich somit um ein Gesuch um Familienzusammenführung, das sich auf Art. 85 des Bundesgesetzes vom 16. Dezember 2005 über die Ausländerinnen und Ausländer (AuG, SR 142.20) stütze. Da ein solches gemäss Art. 74 der Verordnung vom 24. Oktober 2007 über Zulassung, Aufenthalt und Erwerbstätigkeit (VZAE, SR 142.201) bei der kantonalen Migrationsbehörde einzureichen sei, sei das BFM für dessen Entgegennahme nicht zuständig. Des Weiteren könne eine Behörde auf ein Gesuch nicht eintreten, wenn die gesuchstellende Person den gesetzlich vorgegebenen Weg nicht einhalte. Die Beschwerdeführerin sei durch das BFM schriftlich darauf hingewiesen worden, dass sie sich mit ihrem Gesuch an die zuständige kantonale Behörde zu wenden habe. Indem die Beschwerdeführerin auf der Zuständigkeit des BFM beharrt habe, habe sie auch ihre Mitwirkungspflicht verletzt, weshalb ein schutzwürdiges Interesse zu verneinen sei.</w:t>
      </w:r>
    </w:p>
    <w:p>
      <w:r>
        <w:rPr>
          <w:b/>
        </w:rPr>
        <w:t>E. 3.2</w:t>
      </w:r>
    </w:p>
    <w:p>
      <w:r>
        <w:t>In Bezug auf die genannte Begründung des BFM ist zunächst festzustellen, dass offensichtlich nicht von einer verfahrensmässigen Unzuständigkeit des Bundesamts für die Behandlung eines Gesuches um Familiennachzug durch eine in der Schweiz als Flüchtling anerkannte und vorläufig aufgenommene Person ausgegangen werden kann. Vielmehr ist es das BFM, das - wie die Vorinstanz in ihrem Schreiben an die Beschwerdeführerin vom 15. März 2011 selbst ausführte - für die Prüfung eines solchen Gesuchs zuständig ist. Demgegenüber ist das Gesuch zufolge Art. 74 Abs. 1 VZAE zwar bei der kantonalen Ausländerbehörde einzureichen, welche zuhanden des BFM eine Stellungnahme zur Frage abzugeben hat, ob die gesetzlichen Voraussetzungen für den Familiennachzug gegeben sind. Indessen wird mit der genannten Norm lediglich bestimmt, bei welcher Behörde das betreffende Verfahren einzuleiten ist, und es ist schliesslich das Bundesamt selbst, welches den Entscheid über die Gutheissung oder Ablehnung des Gesuchs zu treffen hat. Der in der angefochtenen Verfügung vorgebrachte Einwand, das Bundesamt sei nicht für die Entgegennahme des Gesuchs zuständig, vermag an dessen eigentlichen Verfahrenszuständigkeit nichts zu ändern. Schliesslich ist ergänzend festzuhalten, dass im Umstand, dass die Beschwerdeführerin auf der Zuständigkeit des BFM beharrt hat, auch offensichtlich keinerlei Verletzung der Mitwirkungspflicht zu erkennen ist.</w:t>
      </w:r>
    </w:p>
    <w:p>
      <w:r>
        <w:rPr>
          <w:b/>
        </w:rPr>
        <w:t>E. 3.3</w:t>
      </w:r>
    </w:p>
    <w:p>
      <w:r>
        <w:t>Nachdem die Zuständigkeit des BFM für die Prüfung und Entscheidung des Gesuchs um Familiennachzug feststeht, ist das Bundesamt zu Unrecht zum Schluss gelangt, auf das fragliche Gesuch sei gestützt auf Art. 9 Abs. 2 VwVG nicht einzutreten. Richtigerweise wäre durch die Vorinstanz vielmehr mittels einer prozessleitenden Zwischenverfügung festzustellen gewesen, dass die Beschwerdeführerin ihr Gesuch um Familiennachzug nicht an die verordnungsmässig vorgesehene Behörde gerichtet hat, und zugleich wäre das Gesuch an die tatsächlich zuständige kantonale Ausländerbehörde zu überweisen gewesen.</w:t>
      </w:r>
    </w:p>
    <w:p>
      <w:r>
        <w:rPr>
          <w:b/>
        </w:rPr>
        <w:t>E. 3.4</w:t>
      </w:r>
    </w:p>
    <w:p>
      <w:r>
        <w:t>Im Sinne einer Klarstellung ist im Übrigen festzuhalten, dass aus dem in der angefochtenen Verfügung erwähnten Urteil des Bundesverwaltungsgerichts E-2182/2011 vom 24. Mai 2011 nicht abgeleitet werden kann, in der vorliegenden Fallkonstellation sei auf ein Gesuch um Familiennachzug nicht einzutreten.</w:t>
      </w:r>
    </w:p>
    <w:p>
      <w:r>
        <w:rPr>
          <w:b/>
        </w:rPr>
        <w:t>E. 4</w:t>
      </w:r>
    </w:p>
    <w:p>
      <w:r>
        <w:t>Aus dem Gesagten ergibt sich, dass die Beschwerde gutzuheissen ist. Die angefochtene Verfügung ist aufzuheben, und das BFM ist anzuweisen, auf das Gesuch um Familienzusammenführung vom 3. März 2011 einzutreten und dessen Behandlung im Sinne der vorstehenden Erwägungen und der einschlägigen rechtlichen Bestimmungen zu veranlassen.</w:t>
      </w:r>
    </w:p>
    <w:p>
      <w:r>
        <w:rPr>
          <w:b/>
        </w:rPr>
        <w:t>E. 5.1</w:t>
      </w:r>
    </w:p>
    <w:p>
      <w:r>
        <w:t>Bei diesem Ausgang des Verfahrens sind keine Kosten zu erheben (Art. 63 Abs. 3 VwVG i.V.m. Art. 37 VGG). Das mit der Beschwerdeschrift gestellte Gesuch um Gewährung der unentgeltlichen Rechtspflege im Sinne von Art. 65 Abs. 1 VwVG erweist sich somit als gegenstandslos.</w:t>
      </w:r>
    </w:p>
    <w:p>
      <w:r>
        <w:rPr>
          <w:b/>
        </w:rPr>
        <w:t>E. 5.2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der Beschwerdeführerin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der Beschwerdeführerin Fr. 250.-- (inkl. Auslagen und Mehrwertsteuer) als Parteientschädigung zuzusprechen.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