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D-3592/2019 vom 23. Juli 2019</w:t>
      </w:r>
    </w:p>
    <w:p>
      <w:r>
        <w:t>Bundesverwaltungsgericht, 2019-07-23, DE</w:t>
      </w:r>
    </w:p>
    <w:p>
      <w:r>
        <w:rPr>
          <w:b/>
        </w:rPr>
        <w:t xml:space="preserve">Quelle: </w:t>
      </w:r>
      <w:r>
        <w:t>https://mcp.opencaselaw.ch/entscheid/bvger_D-3592_2019</w:t>
      </w:r>
    </w:p>
    <w:p>
      <w:r>
        <w:t>FR: TAF D-3592/2019 du 23 juillet 2019</w:t>
      </w:r>
    </w:p>
    <w:p>
      <w:r>
        <w:t>IT: TAF D-3592/2019 del 23 luglio 2019</w:t>
      </w:r>
    </w:p>
    <w:p>
      <w:pPr>
        <w:pStyle w:val="Heading2"/>
      </w:pPr>
      <w:r>
        <w:t>Regeste</w:t>
      </w:r>
    </w:p>
    <w:p>
      <w:r>
        <w:t>Nichteintreten auf Asylgesuch (sicherer Drittstaat 31a I a,c,d,e)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wird.</w:t>
      </w:r>
    </w:p>
    <w:p>
      <w:r>
        <w:rPr>
          <w:b/>
        </w:rPr>
        <w:t>E. 2</w:t>
      </w:r>
    </w:p>
    <w:p>
      <w:r>
        <w:t>Die angefochtene Verfügung vom 8. Juli 2019 wird aufgehoben und die Sache im Sinne der Erwägungen zur vollständigen und richtigen Sachverhaltsabklärung sowie zur erneuten Beurteilung ans SEM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Die Einzelrichterin: Die Gerichtsschreiberin: Contessina Theis Norzin-Lhamo Ritsatsang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