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D-3584/2008 vom 7. Februar 2011</w:t>
      </w:r>
    </w:p>
    <w:p>
      <w:r>
        <w:t>Bundesverwaltungsgericht, 2011-02-07, DE</w:t>
      </w:r>
    </w:p>
    <w:p>
      <w:r>
        <w:rPr>
          <w:b/>
        </w:rPr>
        <w:t xml:space="preserve">Quelle: </w:t>
      </w:r>
      <w:r>
        <w:t>https://mcp.opencaselaw.ch/entscheid/bvger_D-3584_2008</w:t>
      </w:r>
    </w:p>
    <w:p>
      <w:r>
        <w:t>FR: TAF D-3584/2008 du 7 février 2011</w:t>
      </w:r>
    </w:p>
    <w:p>
      <w:r>
        <w:t>IT: TAF D-3584/2008 del 7 febbraio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genaue Zeitpunkt der Eröffnung des vorinstanzlichen Entscheides kann den Akten nicht entnommen werden, weil keine Empfangsbestätigung vorliegt. Da in einem solchen Fall die Beweislast bei den Behörden liegt (vgl. André Moser/Michael Beusch/Lorenz Kneubühler, Prozessieren vor dem Bundesverwaltungsgericht, Basel 2008, S. 166 f., Rz. 3.150), wird von der Rechtzeitigkeit der Beschwerdeeinreichung ausgegangen.</w:t>
      </w:r>
    </w:p>
    <w:p>
      <w:r>
        <w:rPr>
          <w:b/>
        </w:rPr>
        <w:t>E. 1.4</w:t>
      </w:r>
    </w:p>
    <w:p>
      <w:r>
        <w:t>Die Beschwerde ist nicht in einer Amtssprache des Bundes abgefasst. Aus prozessökonomischen Gründen wird praxisgemäss auf eine entsprechende Rückweisung zur Übersetzung in eine Amtssprache verzichtet und die in englischer Sprache abgefasste Rechtsmitteleingabe samt Beweismittel zufolge ihrer Verständlichkeit akzeptiert. Der Entscheid des Bundesverwaltungsgerichts ergeht indessen in deutscher Sprache (Art. 33a Abs. 2 VwVG i.V.m. Art. 6 AsylG).</w:t>
      </w:r>
    </w:p>
    <w:p>
      <w:r>
        <w:rPr>
          <w:b/>
        </w:rPr>
        <w:t>E. 1.5</w:t>
      </w:r>
    </w:p>
    <w:p>
      <w:r>
        <w:t>Die Beschwerde ist folglich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37 VGG, Art. 48 Abs. 1 sowie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Das Bundesamt kann ein im Ausland gestelltes Asylgesuch ablehnen, wenn die asylsuchenden Personen keine Verfolgung glaubhaftmachen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 dort beschriebene Praxis hat nach bloss redaktionellen Änderungen bei der letzten Totalrevision des Asylgesetzes nach wie vor Gültigkeit).</w:t>
      </w:r>
    </w:p>
    <w:p>
      <w:r>
        <w:rPr>
          <w:b/>
        </w:rPr>
        <w:t>E. 5.1</w:t>
      </w:r>
    </w:p>
    <w:p>
      <w:r>
        <w:t>Das BFM hat die vom Beschwerdeführer geltend gemachte Inhaftierung vom 23. März 2007 bis zum 8. Dezember 2007 sowie die Befragungen durch die Sicherheitskräfte als glaubhaft erachtet. In Anbetracht dessen könne die Vorinstanz seine Bedenken vor erneuten Übergriffen durchaus nachvollziehen, indessen sei die Wahrscheinlichkeit einer einreisebeachtlichen Bedrohung nicht hinlänglich begründet. Aus den Akten gehe nämlich hervor, dass er am 8. Dezember 2007 freigelassen worden sei, mithin keine Verdachtsmomente gegen ihn vorgelegen seien und kein weiteres Verfolgungsinteresse gegen ihn bestanden habe. Sodann seien den Akten keine Hinweise zu entnehmen, wonach der Beschwerdeführer seither seitens der heimatlichen Behörden ernsthafte Nachteile erlitten hätte oder ihm solche drohen würden. Weiter verweist die Vorinstanz in der angefochtenen Verfügung auf die (damalige) Situation in Sri Lanka. Zwar sei der Beschwerdeführer durch die von ihm erwähnten Vorfälle stark betroffen und auch im Süden und Westen des Landes habe sich die menschenrechts- und sicherheitspolitische Situation aufgrund der militärischen Eskalation und der Polarisierung der Politik verschärft. Im Grossraum Colombo habe die Regierung verstärkte Sicherheitsbestimmungen erlassen; insbesondere Tamilen seien häufig von Personenkontrollen, Einschränkungen der Bewegungsfreiheit oder Hausdurchsuchungen betroffen. Allerdings herrsche im Süden und Westen Sri Lankas keine Situation allgemeiner Gewalt, weshalb von einer generellen Unzumutbarkeit einer Wohnsitznahme in diesen Gebieten nicht gesprochen werden könne. Es erscheine zwar unter Berücksichtigung der von ihm geschilderten Vorfälle verständlich, wenn er sich vor Übergriffen fürchte. Diese subjektive Furcht - ihr Vorhandensein einmal vorausgesetzt - genüge indessen nicht für die Annahme einer einreiserelevanten Verfolgungsgefahr, fehle es doch im vorliegenden Fall an konkreten Indizien, dass die Verfolger ihre Drohungen mit erheblicher Wahrscheinlichkeit und in absehbarer Zukunft in die Tat umzusetzen gedenken würden. Er könne auch aus dem Umstand, dass die LTTE ihn vor längerer Zeit zum Beitritt aufgefordert hätte sowie aus der Tatsache, dass sein Vater und ein Onkel gewaltsam ums Leben gekommen seien - auch wenn dies für ihn von grosser persönlicher Tragik sei - keine Asylrelevanz herleiten. An diesen Erwägungen vermöchten auch die von ihm eingereichten Dokumente nichts zu ändern, stützten sie doch lediglich Vorbringen, deren Glaubhaftigkeit vorliegend nicht in Frage gestellt werde. Zusammenfassend sei festzustellen, dass er nicht schützbedürftig im Sinne von Art. 3 AsylG sei. Daher sei sein Asylgesuch abzulehnen und die Einreise in die Schweiz nicht zu bewilligen.</w:t>
      </w:r>
    </w:p>
    <w:p>
      <w:r>
        <w:rPr>
          <w:b/>
        </w:rPr>
        <w:t>E. 5.2</w:t>
      </w:r>
    </w:p>
    <w:p>
      <w:r>
        <w:t>Diese Erwägungen des BFM sind nach Prüfung der Akten durch das Gericht zutreffend und zu bestätigen, zumal der Beschwerdeführer in der Beschwerde seine bereits im vorinstanzlichen Verfahren geltend gemachten Vorbringen lediglich wiederholt. Sowohl das vom Beschwerdeführer neu geltend gemachte Aufsuchen und Befragen durch die Polizei am 19. Mai 2008 sowie die beigelegten Beweismittel vermögen an dieser Einschätzung nichts zu ändern. Vielmehr ist zu erwähnen, dass der Beschwerdeführer gemäss eigenen Angaben nach dem Tod seines Vaters die Familie finanziell unterstützen musste und er hauptsächlich aus wirtschaftlichen Gründen ein Asylgesuch bei der Botschaft stellte. Den Akten kann nicht entnommen werden, dass er nach seiner Verhaftung gezielt in den Fokus staatlicher Behörden geraten und deshalb allenfalls auf den Schutz der Schweiz angewiesen wäre. Er hat keine eigenen oder politische Aktivitäten von nahen Angehörigen geltend gemacht, weshalb eine konkret drohende Gefahr für den Beschwerdeführer nicht ersichtlich ist.</w:t>
      </w:r>
    </w:p>
    <w:p>
      <w:r>
        <w:rPr>
          <w:b/>
        </w:rPr>
        <w:t>E. 5.3</w:t>
      </w:r>
    </w:p>
    <w:p>
      <w:r>
        <w:t>Es ist nicht in Abrede zu stellen, dass die allgemeine Situation für die Tamilen insbesondere im Norden und Osten Sri Lankas während des langjährigen Bürgerkriegs sehr schwierig war. Am 18. Mai 2009 wurde seitens der Regierung der endgültige Sieg über die LTTE verkündet und der Bürgerkrieg offiziell für beendet erklärt. Nach dieser Niederlage der LTTE haben die srilankischen Behörden - namentlich im Grossraum Colombo - die Sicherheitsmassnahmen nicht gelockert. Daher laufen junge Männer Gefahr, von srilankischem Sicherheitspersonal einer minutiösen Personenkontrolle unterzogen und auch für eingehendere Abklärungen auf den Posten mitgenommen oder in ein Armeecamp beordert zu werden. Diese sogenannten "Anti-Terrormassnahmen" werden im Raum Colombo - unbesehen der Rügen des Supreme Court - als repressives Instrument gegen befürchtete Infiltrationen tamilischer Separatisten eingesetzt. Diesen Massnahmen, denen ein Grossteil der tamilischen Bevölkerung im ganzen Land und vor allem im Grossraum Colombo ausgesetzt sind, kommt indes aufgrund mangelnder Intensität kein Verfolgungscharakter im Sinne von Art. 3 AsylG zu. Sodann genügt allein die subjektive Angst vor einer allfällig künftig möglichen Bedrohung nicht, um auf das Vorliegen einer begründeten Frucht vor künftiger Verfolgung zu schliessen. Dementsprechend vermögen die Ausführungen des Beschwerdeführers in der Eingabe nicht zur Anerkennung der Flüchtlingseigenschaft führen. Der Beschwerdeführer vermag mithin nicht darzutun, inwiefern das BFM zu Unrecht geschlossen habe, er sei nicht schutzbedürftig im Sinne des AsylG.</w:t>
      </w:r>
    </w:p>
    <w:p>
      <w:r>
        <w:rPr>
          <w:b/>
        </w:rPr>
        <w:t>E. 6</w:t>
      </w:r>
    </w:p>
    <w:p>
      <w:r>
        <w:t>Zusammenfassend ist festzustellen, dass der Beschwerdeführer keine Gefährdung im Sinne von Art. 3 AsylG glaubhaft machen konnte und nicht als Flüchtling anerkannt werden kann. Das BFM hat demnach zu Recht die Einreise in die Schweiz nicht bewilligt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grundsätzlich dem Beschwerdeführer aufzuerlegen (Art. 63 Abs. 1 und 5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