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D-3574/2012 vom 17. Juli 2012</w:t>
      </w:r>
    </w:p>
    <w:p>
      <w:r>
        <w:t>Bundesverwaltungsgericht, 2012-07-17, DE</w:t>
      </w:r>
    </w:p>
    <w:p>
      <w:r>
        <w:rPr>
          <w:b/>
        </w:rPr>
        <w:t xml:space="preserve">Quelle: </w:t>
      </w:r>
      <w:r>
        <w:t>https://mcp.opencaselaw.ch/entscheid/bvger_D-3574_2012</w:t>
      </w:r>
    </w:p>
    <w:p>
      <w:r>
        <w:t>FR: TAF D-3574/2012 du 17 juillet 2012</w:t>
      </w:r>
    </w:p>
    <w:p>
      <w:r>
        <w:t>IT: TAF D-3574/2012 del 17 luglio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in casu nicht zutrifft - bei Vorliegen eines Auslieferungsgesuches des Staates, vor welchem die beschwerdeführende Partei Schutz sucht (Art. 105 AsylG; Art. 83 Bst. c Ziff. 1 und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Amtssprachen des Bundes sind das Deutsche, Französische und Italienische (Art. 70 Abs. 1 der Bundesverfassung der Schweizerischen Eidgenossenschaft vom 18. April 1999 [BV, SR 101]). Die Beschwerde ist nicht in einer Amtssprache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1.4</w:t>
      </w:r>
    </w:p>
    <w:p>
      <w:r>
        <w:t>Vorliegend wurde der Entscheid des Bundesamtes vom 2. Mai 2012 am 23. Mai 2012 von der Schweizerischen Botschaft zwecks Zustellung an die Beschwerdeführerin gesandt (vgl. Sachverhalt Bst. G). Da kein Rückschein vorliegt, steht vorliegend der Zeitpunkt der Eröffnung der angefochtenen Verfügung nicht fest. Die Rechts-mitteleingabe wurde am 20. Juni 2012 (Datum des Poststempels) an die Schweizerische Vertretung gesandt, wo sie am 25. Juni 2012 eintraf (vgl. Sachverhalt Bst. H). Mithin ist von der Wahrung der Rechtsmittelfrist auszugehen (Art. 21 Abs. 1 VwVG).</w:t>
      </w:r>
    </w:p>
    <w:p>
      <w:r>
        <w:rPr>
          <w:b/>
        </w:rPr>
        <w:t>E. 1.5</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(vermutungsweise) frist- und formgerecht eingereichte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weshalb der Beschwerdeentscheid nur summarisch zu begründen ist (Art. 111a 2 AsylG). Gestützt auf Art. 111a Abs. 1 AsylG wurde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4.2</w:t>
      </w:r>
    </w:p>
    <w:p>
      <w:r>
        <w:t>Vorliegend wurde die Beschwerdeführerin von der schweizeri­schen Botschaft in B._______ nicht zu ihrem Asylgesuch befragt. Sie hat ihre Vorbringen jedoch bereits in ihrem Asylgesuch vom 15. Februar 2008 und der diesem folgenden Eingabe vom 22. April 2008 schriftlich dargelegt und do­kumentiert. Ausserdem wurde ihr danach mit Zwischenverfügung des BFM vom 14. September 2010 das rechtliche Gehör im Hinblick auf die in Er­wägung gezoge­ne Abweisung des Asylgesuches gewährt, wobei sie von ihrem dies­bezüglichen Recht auf Stellungnahme nicht Gebrauch ge­macht hat (vgl. Sachverhalt Bst. E und F). Der entscheidwesentliche Sachverhalt erscheint - wie das BFM sowohl in seiner Zwischenverfügung vom 14. September 2010 als auch in der angefochte­nen Verfügung zu Recht ausführt - ange­sichts der schriftlichen Darlegung und Dokumentierung der Asylgründe soweit erstellt, dass die entscheidrelevanten Elemente vorliegen. Bei dieser Sachlage bestand für die schweizerische Vertretung in B._______ keine Veranlassung, die Beschwerdeführerin vorgängig eines Ent­scheides zusätzlich persönlich anzuhören. Das BFM hat den verfah­rensrechtlichen Anforderungen damit Genüge getan.</w:t>
      </w:r>
    </w:p>
    <w:p>
      <w:r>
        <w:rPr>
          <w:b/>
        </w:rPr>
        <w:t>E. 5.1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Das BFM führte zur Begründung seiner Verfügung im Wesent­lichen aus, massgebend für die Erteilung einer Einreisebewilligung sei die Gefährdungssituation der asylsuchenden Person zum Zeitpunkt des Entscheids. Mithin sei vergangene Verfolgung nur massgebend, wenn sie noch andaure oder konkrete Anzeichen für künftige Verfolgung bestehen würden. Eine Einreisebewilligung würde nicht als Ent-schädigung für erlittene Unbill erteilt, sondern nur Personen, die aktuell auf Schutz angewiesen seien. Zudem müssten die Verfolgungs-massnahmen eine Gefahr für das Leben oder die körperliche oder psychische Integrität darstellen und eine Intensität aufweisen, welche ein menschenwürdiges Leben im Verfolgerstaat verunmöglichen oder in unzumutbarer Weise erschweren würde. Den telefonischen Erpressungsversuchen würde eine solche Intensität nicht zukommen. Zudem habe die Beschwerdeführerin keine Vorbringen erwähnt, welche darauf schliessen liessen, dass sie in ihrem Heimatstaat aktuell gefährdet wäre. Schliesslich seien die geltend gemachten wirtschaft­lichen Schwierigkeiten der Beschwerdeführerin nach dem Tod ihres Ehemannes Ausdruck der allgemeinen und sozioökonomischen Situa-tion in Sri Lanka und stellten keine asylrechtlich relevante Verfolgung dar. Daran vermöchten auch die zu den Akten gereichten Dokumente nichts zu ändern, zumal sie lediglich die Vorbringen der Be­schwerdeführerin stützten, deren Glaubhaftigkeit nicht in Frage gestellt werde.</w:t>
      </w:r>
    </w:p>
    <w:p>
      <w:r>
        <w:rPr>
          <w:b/>
        </w:rPr>
        <w:t>E. 6.2</w:t>
      </w:r>
    </w:p>
    <w:p>
      <w:r>
        <w:t>Die Beschwerde und die gleichzeitig eingereichten Unterlagen beschränken sich sinngemäss auf eine Wiederholung der bisherigen Vorbringen. Zusätzlich wird ausgeführt, im (...) seien (...) unbekannte Personen mit (...) zum Haus der Beschwerdeführerin gekommen und hätten diese unter Bedrohung mit (...) aufgefordert, ihnen einen grossen Geld-betrag auszuhändigen. Aus Furcht habe die Beschwerdeführerin sie auf einen späteren Zeitpunkt verwiesen. Seit diesem Vorfall sei sie mit ihrer Tochter zu einer verwandten Person umgezogen. Der F._______, welche die Beschwerdeführerin bisher unterstützt habe, sei im (...) verschwunden.</w:t>
      </w:r>
    </w:p>
    <w:p>
      <w:r>
        <w:rPr>
          <w:b/>
        </w:rPr>
        <w:t>E. 6.3</w:t>
      </w:r>
    </w:p>
    <w:p>
      <w:r>
        <w:t>Eine Überprüfung der Akten ergibt, dass sich die Erwägungen in der angefochtenen Verfügung als zutreffend erweisen. Mithin wurden die Vorbringen der Beschwerdeführerin zu Recht als den An­forderungen an eine Verfolgung im Sinne von Art. 3 AsylG nicht ge­nügend qualifiziert. Diesbezüglich wird auf E. 6.1 verwiesen. Daran vermögen die zusätzlichen Ausführungen in der Beschwerde nichts zu ändern. Das Bundesverwaltungsgericht geht zum einen mit der Vorinstanz darin einig, dass die im erstinstanzlichen Verfahren geltend gemachten Verfolgungsvorbringen nicht eine derartige Intensität auf-weisen, dass sie die Erteilung einer Einreisebewilligung zu bewirken vermöchten beziehungsweise die schwierige wirtschaftliche Situation der Beschwerdeführerin als asylrechtlich nicht relevant zu qualifizieren ist. Zum andern ist es der Beschwerdeführerin zuzumuten, im Zusam-menhang mit den geltend gemachten Erpressungsversuchen die sri-lankischen Behörden um Schutz zu ersuchen, zumal die Schutz-fähigkeit des sri-lankischen Staates grundsätzlich zu bejahen ist. Mithin ist auch die asylrechtliche Relevanz dieser Delikte zu verneinen. Daran vermögen schliesslich die zusammen mit der Beschwerde eingereichten Dokumente nichts zu ändern, zumal sie, soweit er­sichtlich, lediglich die Vorbringen der Beschwerdeführerin stützen, de­ren Glaubhaftigkeit nicht in Frage gestellt wird.</w:t>
      </w:r>
    </w:p>
    <w:p>
      <w:r>
        <w:rPr>
          <w:b/>
        </w:rPr>
        <w:t>E. 6.4</w:t>
      </w:r>
    </w:p>
    <w:p>
      <w:r>
        <w:t>Zusammenfassend ist festzustellen, dass es der Beschwerde-führerin nicht gelungen ist, eine aktuelle Verfolgung im Sinne von Art. 3 AsylG darzulegen. Es erübrigt sich, auf weitere Vorbringen in der Be­schwerde und die eingereichten Dokumente einzugehen, da diese kei­ne neuen Begründungselemente enthalten, welche geeignet wären, die Einschätzung des BFM entscheidend zu relativieren. Das BFM hat demnach der Beschwerdeführerin und ihrem Kind zu Recht die Einrei­se in die Schweiz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grundsätzlich der Beschwerdeführerin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