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D-3574/2006 vom 3. Juni 2009</w:t>
      </w:r>
    </w:p>
    <w:p>
      <w:r>
        <w:t>Bundesverwaltungsgericht, 2009-06-03, FR</w:t>
      </w:r>
    </w:p>
    <w:p>
      <w:r>
        <w:rPr>
          <w:b/>
        </w:rPr>
        <w:t xml:space="preserve">Quelle: </w:t>
      </w:r>
      <w:r>
        <w:t>https://mcp.opencaselaw.ch/entscheid/bvger_D-3574_2006</w:t>
      </w:r>
    </w:p>
    <w:p>
      <w:r>
        <w:t>FR: TAF D-3574/2006 du 3 juin 2009</w:t>
      </w:r>
    </w:p>
    <w:p>
      <w:r>
        <w:t>IT: TAF D-3574/2006 del 3 giugno 2009</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(ci-après : le Tribunal) du 17 juin 2005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recours qui étaient pendants devant la CRA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L'intéressé a qualité pour recourir. Présenté dans la forme et les délais prescrits par la loi, le recours est recevable (art. 48 ss PA dans leurs versions en vigueur au moment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s'agissant de l'asile, il convient de constater que le récit de l'intéressé ne satisfait pas aux exigences de vraisemblance prévues par la loi.</w:t>
      </w:r>
    </w:p>
    <w:p>
      <w:r>
        <w:rPr>
          <w:b/>
        </w:rPr>
        <w:t>E. 3.1.1</w:t>
      </w:r>
    </w:p>
    <w:p>
      <w:r>
        <w:t>Tout d'abord, sa qualité de membre du mouvement de la libération du Soudan n'a nullement été établie. On relève à ce propos, que l'intéressé s'était engagé à faire parvenir au Tribunal une attestation d'adhésion au mouvement (cf. mémoire de recours, p. 3 ; courrier du recourant du 24 mars 2004, p. 2). Toutefois, après plus de cinq ans de procédure, aucun document en ce sens n'a été versé en cause. Au demeurant, le recourant étant arabophone et de confession musulmane, on s'étonne de son appartenance à ce mouvement, proche du SPLM qui compte essentiellement des personnes chrétiennes et non-arabophones.</w:t>
      </w:r>
    </w:p>
    <w:p>
      <w:r>
        <w:rPr>
          <w:b/>
        </w:rPr>
        <w:t>E. 3.1.2</w:t>
      </w:r>
    </w:p>
    <w:p>
      <w:r>
        <w:t>Ensuite, le récit présenté diverge sur des points importants. Concernant son arrestation et sa détention, l'intéressé a d'abord allégué avoir été arrêté deux jours après son expulsion de l'université, de même que cinq autres amis militants, à savoir E._______, F._______, G._______, H._______, et I._______ (cf. procès-verbal de l'audition du [...] p. 5). Au bâtiment du service de renseignements, il aurait été traité normalement les 15 premiers jours, puis plus sévèrement. Lors de la seconde audition, il n'a plus mentionné I._______, expliquant que lui et quatre collègues avaient été arrêtés le jour suivant leur expulsion, non pas deux jours après (cf. procès-verbal de l'audition du [...], p. 7 et 9). Ils n'auraient ensuite pas été emmenés directement au service de renseignements, mais auraient d'abord transité par le poste de police durant trois jours (cf. procès-verbal de l'audition du [...], p. 9 à 10). Les conditions de détention invoquées sont également divergentes, dans la mesure où il a déclaré, lors de sa deuxième audition, avoir été traité très cruellement au poste de police, puis moyennement durant un mois (cf. procès-verbal de l'audition du [...], p. 10 et 11). Enfin, la durée totale de détention alléguée varie entre une trentaine de jours et deux mois et demi (cf. procès-verbal de l'audition du [...], p. 5 ; procès-verbal de l'audition du [...], p. 16).</w:t>
      </w:r>
    </w:p>
    <w:p>
      <w:r>
        <w:rPr>
          <w:b/>
        </w:rPr>
        <w:t>E. 3.1.3</w:t>
      </w:r>
    </w:p>
    <w:p>
      <w:r>
        <w:t>Au surplus, les propos de l'intéressé en rapport avec sa fuite lors du transport vers le Tribunal sont stéréotypés et non constants. Il a en effet expliqué dans un premier temps que lui et deux de ses collègues auraient été conduits au tribunal par trois policiers dont deux étaient de connivence (cf. procès-verbal de l'audition du [...], p. 5 et 6). Selon la deuxième audition, le recourant et quatre collègues, non deux, auraient été conduits au tribunal par trois policiers, mais également par trois membres du service de renseignements. Puis, il serait parvenu à s'enfuir grâce à l'aide d'un seul policier, uniquement, qui croyait, selon ses dires, en sa cause (cf. procès-verbal de l'audition du [...], p. 12).</w:t>
      </w:r>
    </w:p>
    <w:p>
      <w:r>
        <w:rPr>
          <w:b/>
        </w:rPr>
        <w:t>E. 3.2</w:t>
      </w:r>
    </w:p>
    <w:p>
      <w:r>
        <w:t>Par ailleurs, l'intéressé a fait valoir que l'ethnie four, à laquelle il appartiendrait, rencontrait régulièrement des problèmes avec le gouvernement (cf. notamment procès-verbal de l'audition du [...], p. 4). Il ne s'agit là toutefois que de considérations générales ne concernant pas le recourant en particulier. Au surplus, le Tribunal relève à ce propos que l'intéressé ne parle même pas la langue four, sa langue maternelle étant l'arabe (cf. procès-verbal de l'audition du [...], p. 3).</w:t>
      </w:r>
    </w:p>
    <w:p>
      <w:r>
        <w:rPr>
          <w:b/>
        </w:rPr>
        <w:t>E. 3.3</w:t>
      </w:r>
    </w:p>
    <w:p>
      <w:r>
        <w:t>Il s'ensuit que le recours, en tant qu'il conteste le refus de l'asile et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In casu, l'exécution du renvoi ne contrevient pas au principe de non-refoulement de l'art. 5 LAsi, l'intéressé n'étant pas un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 Tribunal considère, pour les motifs déjà exposés ci-dessus (cf. consid. 3), que le recourant n'a pas établi l'existence d'un tel risque réel et personnel de subir des traitements prohibés par l'art. 3 CEDH et les autres engagements internationaux contractés par la Suisse, en cas de retour dans son pays.</w:t>
      </w:r>
    </w:p>
    <w:p>
      <w:r>
        <w:rPr>
          <w:b/>
        </w:rPr>
        <w:t>E. 6.5</w:t>
      </w:r>
    </w:p>
    <w:p>
      <w:r>
        <w:t>Dès lors, l'exécution du renvoi du recourant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Jurisprudence et informations de la Commission suisse de recours en matière d'asile [JICRA] 1999 n° 28 p. 170 et jurisp. citée, dont il n'y a pas lieu de s'écarter en vertu du nouveau droit).</w:t>
      </w:r>
    </w:p>
    <w:p>
      <w:r>
        <w:rPr>
          <w:b/>
        </w:rPr>
        <w:t>E. 7.2</w:t>
      </w:r>
    </w:p>
    <w:p>
      <w:r>
        <w:t>Il est notoire que le Soudan, excepté la province du Darfour (cf. JICRA 2006 n° 25),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En l'espèce, le recourant, bien qu'il allègue provenir de la région du Darfour, ne parle aucune des langues vernaculaires de cette région, sa langue maternelle étant l'arabe et les autres langues qu'il maîtrise sont l'anglais et le français (procès-verbal de l'audition du [...], p. 3). Ni son identité, ni son origine ne sont donc établies. Compte tenu de ses connaissances linguistiques, une exécution du renvoi à Khartoum apparaît raisonnablement exigible, ce d'autant que selon ses propres déclarations, il aurait déjà séjourné dans cette ville à plusieurs reprises auparavant (cf. procès-verbal de l'audition du [...], p. 3 ; procès-verbal de l'audition du [...], p. 15). Au surplus, en tant qu'arabophone, il n'a pas à redouter, même si l'on retenait son appartenance à l'ethnie four, de risques liés à son origine ethnique (cf. arrêt du Tribunal administratif fédéral E-1628/2007 du 19 juin 2008 consid. 3.2).</w:t>
      </w:r>
    </w:p>
    <w:p>
      <w:r>
        <w:rPr>
          <w:b/>
        </w:rPr>
        <w:t>E. 7.4</w:t>
      </w:r>
    </w:p>
    <w:p>
      <w:r>
        <w:t>En outre, il ne ressort du dossier aucun élément dont on pourrait inférer que l'exécution du renvoi impliquerait une mise en danger concrète du recourant dans le cas d'un retour à Khartoum. En effet, il est au bénéfice d'une bonne formation et n'a pas allégué de problème de santé particulier.</w:t>
      </w:r>
    </w:p>
    <w:p>
      <w:r>
        <w:rPr>
          <w:b/>
        </w:rPr>
        <w:t>E. 7.5</w:t>
      </w:r>
    </w:p>
    <w:p>
      <w:r>
        <w:t>Pour ces motifs, l'exécution du renvoi doit être considérée comme raisonnablement exigible.</w:t>
      </w:r>
    </w:p>
    <w:p>
      <w:r>
        <w:rPr>
          <w:b/>
        </w:rPr>
        <w:t>E. 8</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aurait lieu de mettre les frais de procédure, d'un montant de Fr. 600.-, à la charge du recourant, conformément à l'art. 63 al. 1 PA et aux art. 2 et 3 let. b du règlement du 21 février 2008 concernant les frais, dépens et indemnités fixés par le Tribunal administratif fédéral (FITAF, RS 173.320.2). L'intéressé ayant toutefois été mis au bénéfice de l'assistance judiciaire partielle,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