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D-3555/2020 vom 29. Oktober 2021</w:t>
      </w:r>
    </w:p>
    <w:p>
      <w:r>
        <w:t>Bundesverwaltungsgericht, 2021-10-29, FR</w:t>
      </w:r>
    </w:p>
    <w:p>
      <w:r>
        <w:rPr>
          <w:b/>
        </w:rPr>
        <w:t xml:space="preserve">Quelle: </w:t>
      </w:r>
      <w:r>
        <w:t>https://mcp.opencaselaw.ch/entscheid/bvger_D-3555_2020</w:t>
      </w:r>
    </w:p>
    <w:p>
      <w:r>
        <w:t>FR: TAF D-3555/2020 du 29 octobre 2021</w:t>
      </w:r>
    </w:p>
    <w:p>
      <w:r>
        <w:t>IT: TAF D-3555/2020 del 29 ottobre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 a qualité pour recourir (art. 48 al. 1 PA). Présenté dans la forme (art. 52 al. 1 PA) et le délai (art. 108 al. 2 LAsi) prescrits par la loi, son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les réf. citées ; 2010/57 consid. 2.5 ; 2008/12 consid. 5.1).</w:t>
      </w:r>
    </w:p>
    <w:p>
      <w:r>
        <w:rPr>
          <w:b/>
        </w:rPr>
        <w:t>E. 2.3</w:t>
      </w:r>
    </w:p>
    <w:p>
      <w:r>
        <w:t>Il y a persécution réfléchie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 personnes ou groupes de personnes dont la situation est comparable à celle du requérant d'asile (cf. ATAF 2010/57 consid. 4.1.3 et réf. cit.).</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l'espèce, il n'est pas contesté que le frère de l'intéressé, F._______, a été condamné, le [date de la condamnation], à une peine de trois mois d'emprisonnement pour propagande contre le régime et insultes aux Imams, lors de son service militaire, ni qu'il a été libéré ensuite. Par contre, l'intéressé n'a pas rendu vraisemblable l'existence de recherches à son encontre de la part des autorités iraniennes, que ce soit pour des raisons personnelles ou pour des motifs liés à F._______. En effet, selon ses déclarations, il a eu un contact direct avec le service de renseignements à deux reprises, la première, lors de la détention de deux jours, pour servir de caution jusqu'à la réapparition de F._______, puis la deuxième, lorsqu'il a accompagné celui-ci à la direction des renseignements, en (...) 2019. Or, il a été laissé libre de ses mouvements et sans qu'aucune charge ne soit retenue contre lui. S'il avait été dans le collimateur des autorités, que ce soit en raison de ses activités ou de celles de son frère, il ne fait aucun doute qu'il aurait été arrêté sur le champ, respectivement détenu. Par ailleurs, F._______ a cessé toute activité politique après avoir purgé ses trois mois d'emprisonnement et l'intéressé n'a apporté aucune explication valable sur les raisons pour lesquelles les autorités en voudraient encore à son frère. Selon les informations obtenues par le SEM, une telle condamnation à trois mois d'emprisonnement demeure, dans le contexte iranien, sans suite ni complications (cf. procès-verbal d'audition [pv.] du 13 novembre 2019, réponse à la question 39, p. 7 s., rapport d'enquête du 6 janvier 2020, pt. 6). Dans le même sens, lors de la deuxième arrestation de F._______, les agents auraient dit au recourant qu'il ne connaitrait aucun problème « s'il n'insistait pas » (cf. pv. du 14 octobre 2019, réponse à la question 60, p. 14). Or, aucune activité de sa part consécutive à cet avertissement n'a été alléguée. De plus, l'intéressé est sorti à deux reprises de son pays d'origine, en juillet et septembre 2019, sans rencontrer aucune difficulté, malgré la prétendue disparition de F._______ et le fait qu'une convocation aurait été émise à son encontre par le Tribunal révolutionnaire de Ia province de D._______ en date du [date de la convocation], plus [nombre de mois] après son deuxième départ. A cela s'ajoute que si l'intéressé s'était senti en danger en Iran, il n'y serait pas retourné après son séjour en Autriche et en Hongrie, des retours qui n'ont entraîné aucun problème à l'intéressé, ce qui tend à montrer qu'il n'était pas dans le collimateur des autorités, pour quelque motif que ce soit, ni recherché. Indépendamment de ces éléments, le Tribunal ne voit aucune raison de mettre en cause les renseignements d'enquête qui concernent la convocation du [date de la convocation], à savoir, d'abord, qu'elle contient des indications et remarques ne figurant que dans l'exemplaire qui est retourné au Tribunal et qui n'ont pas à figurer sur celui concernant l'intéressé, ensuite, qu'il est inconcevable que cette convocation, datée du [date de la convocation], ait été notifiée à l'intéressé seulement le [date de la notification] et, enfin, que si l'intéressé avait été réellement convoqué par le Tribunal révolutionnaire de D._______ pour propagande contre le régime et insultes contre le Guide de la Révolution, il aurait fait l'objet d'une procédure judiciaire de droit commun ou d'un mandat d'arrêt émanant du Ministère public pour des affaires de droit commun, alors que tel n'a pas été le cas. Au vu de ce qui précède, les recherches dont l'intéressé aurait fait l'objet, notamment au domicile familial, mais également suite à l'enquête menée par l'intermédiaire de l'Ambassade suisse à Téhéran, fondées par ailleurs sur aucun commencement de preuve, ne sont pas crédibles et paraissent avancées pour les besoins de la cause.</w:t>
      </w:r>
    </w:p>
    <w:p>
      <w:r>
        <w:rPr>
          <w:b/>
        </w:rPr>
        <w:t>E. 3.2.1</w:t>
      </w:r>
    </w:p>
    <w:p>
      <w:r>
        <w:t>Le recourant a soutenu également que, suite à la publication sur son compte « Instagram », les (...) 2020, de messages critiques à l'égard du régime iranien, deux personnes étaient passées au domicile familial le (...) 2020, et que cette visite aurait causé un état de stress à son père, lequel aurait dû être hospitalisé. A l'appui de ces déclarations, l'intéressé a produit deux pages tirées de son compte qui demandent l'arrêt des exécutions en Iran et une photo d'une personne hospitalisée.</w:t>
      </w:r>
    </w:p>
    <w:p>
      <w:r>
        <w:rPr>
          <w:b/>
        </w:rPr>
        <w:t>E. 3.2.2</w:t>
      </w:r>
    </w:p>
    <w:p>
      <w:r>
        <w:t>Il est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arrêts du TAF D-7148/2018 du 18 décembre 2019 consid. 8.3 et D-830/2016 du 20 juillet 2016 consid. 4 ; ATAF 2009/28 consid. 7.4.3).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w:t>
      </w:r>
    </w:p>
    <w:p>
      <w:r>
        <w:rPr>
          <w:b/>
        </w:rPr>
        <w:t>E. 3.2.3</w:t>
      </w:r>
    </w:p>
    <w:p>
      <w:r>
        <w:t>Le message politique figurant sur le compte de l'intéressé qui revendique l'arrêt des exécutions en Iran, comme le fait la diaspora iranienne dans tous les pays, n'est quant à son contenu pas décisif car il n'est pas crédible que l'intéressé ait présenté un quelconque intérêt pour les services secrets iraniens de ce fait. En outre, selon les documents produits par l'intéressé, son site « Instagram » a été vu à 40 reprises, ce qui ne démontre pas qu'il jouirait d'une très grande notoriété dans la diaspora iranienne. Le Tribunal constate également que la consultation du site en question par le Tribunal n'a pas été possible, car fermée aux tiers. Dans ces conditions, la visite des autorités iraniennes après la diffusion de ces publications n'apparaît pas crédible. Aussi, la photo de la personne hospitalisée, laquelle a pu être prise dans n'importe quel contexte et moment, n'est pas probante. En tout état de cause, sur Internet, l'intéressé ne se distingue pas par un rôle de meneur susceptible d'être perçu comme une menace sérieuse et concrète pour le régime en place par les autorités iraniennes, propre à l'exposer à de sérieux préjudices au sens de l'art. 3 LAsi en cas de retour.</w:t>
      </w:r>
    </w:p>
    <w:p>
      <w:r>
        <w:rPr>
          <w:b/>
        </w:rPr>
        <w:t>E. 3.3</w:t>
      </w:r>
    </w:p>
    <w:p>
      <w:r>
        <w:t>En définitive, le recourant n'a pas rendu vraisemblable sa crainte de persécution, qu'elle soit réfléchie ou pour des motifs personnels, en cas de retour dans son pays. Aussi, les sources provenant d'organisations gouvernementales et non gouvernementales citées à l'appui du recours en relation avec l'existence d'une persécution réfléchie en Iran ne sont pas pertinentes. Le recours, sous l'angle de la reconnaissance de la qualité de réfugié et de l'octroi de l'asile doit ainsi être rejeté et le dispositif de la décision du 11 juin 2020 confirmé sur ces points.</w:t>
      </w:r>
    </w:p>
    <w:p>
      <w:r>
        <w:rPr>
          <w:b/>
        </w:rPr>
        <w:t>E. 4.1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OA 1, (RS 142.311), lorsque le requérant d'asile dispose d'une autorisation de séjour ou d'établissement, ou qu'il fait l'objet d'une décision d'extradition ou d'une décision de renvoi, notamment,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(cf. art. 83 al. 1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TAF D-4984/2015 du 13 juillet 2017 consid. 10.3 ; D-6981/2013 du 4 février 2016 consid. 7.3 ; D-5124/2010 du 14 juin 2013 consid. 7.1 ; D-987/2011 du 25 mars 2013 consid. 8.2.2 et jurisp. cit.). Pour les motifs déjà exposés, le recourant n'a pas rendu hautement probable qu'il serait personnellement visé, en cas de retour dans son pays d'origine, par des mesures incompatibles avec l'art. 3 CEDH ou d'autres dispositions contraignantes de droit international.</w:t>
      </w:r>
    </w:p>
    <w:p>
      <w:r>
        <w:rPr>
          <w:b/>
        </w:rPr>
        <w:t>E. 6.4</w:t>
      </w:r>
    </w:p>
    <w:p>
      <w:r>
        <w:t>Dès lors, l'exécution du renvoi du recourant, sous forme de refoulement ne transgresse aucun engagement de la Suisse relevant du droit international, de sorte qu'elle s'avère licite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7.5</w:t>
      </w:r>
    </w:p>
    <w:p>
      <w:r>
        <w:t>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Par ailleurs, il ne ressort pas du dossier que le recourant pourrait être mis concrètement en danger pour des motifs qui lui sont propres. Agé de (...) ans, il est jeune, sans charge de famille, au bénéfice d'une formation supérieure en [branche étudiée] et d'une expérience professionnelle dans ce domaine. Il dispose aussi d'un réseau familial et social dans son pays d'origine, élément par ailleurs non contesté dans le recours, soit autant de facteurs qui devraient lui permettre de se réinstaller sans rencontrer d'excessives difficultés.</w:t>
      </w:r>
    </w:p>
    <w:p>
      <w:r>
        <w:rPr>
          <w:b/>
        </w:rPr>
        <w:t>E. 7.6.1</w:t>
      </w:r>
    </w:p>
    <w:p>
      <w:r>
        <w:t>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7.6.2</w:t>
      </w:r>
    </w:p>
    <w:p>
      <w:r>
        <w:t>En l'espèce, selon les documents médicaux produits au cours de la procédure, l'intéressé présente [diagnostic médical]. Le traitement suivi est d'ordre médicamenteux et psychothérapeutique. Même si les problèmes de santé du recourant ne sauraient être minimisés, ils ne sont pas d'une gravité telle qu'ils puissent constituer un obstacle à l'exécution du renvoi au sens de la jurisprudence. D'abord, [maladie] a déjà été diagnostiquée en Iran où l'intéressé s'est pris en charge lui-même en adaptant son régime alimentaire et en pratiquant des activités sportives (cf. pv. du 14 octobre 2019, réponse à la question 13, p. 3). Ensuite, les soins psychiatriques sont accessibles en Iran. En effet, la plupart des médicaments y sont disponibles, dont les antidépresseurs et les anxiolytiques, et le gouvernement tente de garantir pour tous les Iraniens la gratuité des traitements médicaux et de l'approvisionnement en médicaments (cf. en ce sens arrêt du TAF E-2878/2019 du 27 juin 2019 consid. 5.3.2). En outre, en cas de besoin, il revient à l'intéressé de mettre en place, avec l'aide de ses thérapeutes, les conditions lui permettant d'appréhender un retour dans son pays d'origine (cf. arrêt de la Cour européenne des Droits de l'Homme [CourEDH], A.S. contre Suisse du 30 juin 2015, no 39350/13, par. 34 et réf. cit.; arrêts du TAF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Par ailleurs, il pourra, le cas échéant, constituer une réserve de médicaments, avant son départ de Suisse et, au besoin, présenter au SEM, après la clôture de la présente procédure, une demande d'aide au retour au sens de l'art. 93 LAsi.</w:t>
      </w:r>
    </w:p>
    <w:p>
      <w:r>
        <w:rPr>
          <w:b/>
        </w:rPr>
        <w:t>E. 7.7</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D- 4796/2019 du 27 avril 2019 consid. 8.9, D-1554/2020 du 23 avril 2020 consid. 7.4, E-895/2020 du 15 avril 2020 consid. 9.6, D-1707/2020 du 15 avril 2020, E-6856/2017 du 6 avril 2020 consid. 9, D-5461/2019 du 26 mars 2020 consid. 7 et D-1282/2020 du 25 mars 2020 consid. 5.5).</w:t>
      </w:r>
    </w:p>
    <w:p>
      <w:r>
        <w:rPr>
          <w:b/>
        </w:rPr>
        <w:t>E. 7.8</w:t>
      </w:r>
    </w:p>
    <w:p>
      <w:r>
        <w:t>Il résulte de ce qui précède que l'exécution du renvoi est raisonnablement exigible au sens de l'art. 83 al. 4 LEI.</w:t>
      </w:r>
    </w:p>
    <w:p>
      <w:r>
        <w:rPr>
          <w:b/>
        </w:rPr>
        <w:t>E. 8.1</w:t>
      </w:r>
    </w:p>
    <w:p>
      <w:r>
        <w:t>L'exécution du renvoi n'est pas possible lorsque l'étranger ne peut pas quitter la Suisse pour son Etat d'origine, son Etat de provenance ou un Etat tiers, ni être renvoyé dans un de ces Etats (art. 83 al. 2 LEI).</w:t>
      </w:r>
    </w:p>
    <w:p>
      <w:r>
        <w:rPr>
          <w:b/>
        </w:rPr>
        <w:t>E. 8.2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porte sur l'exécution du renvoi, doit être rejeté et le dispositif de la décision entreprise également confirmé sur ce point.</w:t>
      </w:r>
    </w:p>
    <w:p>
      <w:r>
        <w:rPr>
          <w:b/>
        </w:rPr>
        <w:t>E. 10.1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10.2</w:t>
      </w:r>
    </w:p>
    <w:p>
      <w:r>
        <w:t>Il convient par ailleurs d'allouer une indemnité à titre d'honoraires et de débours à la mandataire d'office (art. 8 à 11 en relation avec les art. 12 et 14 FITAF). Considérant la note d'honoraires produite le 10 septembre 2020, l'indemnisation des seuls frais nécessaires (cf. art. 8 al. 2 FITAF), ainsi qu'un tarif horaire de 220 francs (cf. décision incidente du 23 juillet 2020), le Tribunal fixe l'indemnité due au mandataire d'office à 2'200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