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D-3548/2023 vom 30. Juni 2023</w:t>
      </w:r>
    </w:p>
    <w:p>
      <w:r>
        <w:t>Bundesverwaltungsgericht, 2023-06-30, DE</w:t>
      </w:r>
    </w:p>
    <w:p>
      <w:r>
        <w:rPr>
          <w:b/>
        </w:rPr>
        <w:t xml:space="preserve">Quelle: </w:t>
      </w:r>
      <w:r>
        <w:t>https://mcp.opencaselaw.ch/entscheid/bvger_D-3548_2023</w:t>
      </w:r>
    </w:p>
    <w:p>
      <w:r>
        <w:t>FR: TAF D-3548/2023 du 30 juin 2023</w:t>
      </w:r>
    </w:p>
    <w:p>
      <w:r>
        <w:t>IT: TAF D-3548/2023 del 30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Sie ist daher im Verfahren einzelrichterlicher Zuständigkeit mit Zustimmung eines zweiten Richters beziehungsweise einer zweiten Richterin (Art. 111 Bst. e AsylG) und mit summarischer Begründung zu behandeln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bis Art. 25 Dublin-III-VO) findet grundsätzlich keine (erneute) Zuständigkeitsprüfung nach Kapitel III Dublin-III-VO mehr statt (vgl. zum Ganzen BVGE 2017 VI/5 E. 6.2 und 8.2.1).</w:t>
      </w:r>
    </w:p>
    <w:p>
      <w:r>
        <w:rPr>
          <w:b/>
        </w:rPr>
        <w:t>E. 4.3</w:t>
      </w:r>
    </w:p>
    <w:p>
      <w:r>
        <w:t>Ein Abgleich des Fingerabdrucks des Beschwerdeführers mit der Fingerabdruck-Datenbank ergab, dass dieser am (...) in Deutschland ein Asylgesuch eingereicht hat. Das SEM ersuchte deshalb die deutschen Behörden am 8. Juni 2023 um Wiederaufnahme des Beschwerdeführers. Nachdem die deutschen Behörden dem Gesuch um Rückübernahme am 13. Juni 2023 zugestimmt haben, ist die Zuständigkeit Deutschlands somit grundsätzlich gegeben. Daran vermag der Einwand des Beschwerdeführers, sein Ziel sei von Anfang an die Schweiz gewesen und er habe in Deutschland kein Asylgesuch einreichen wollen, nichts zu ändern. Die Dublin-III-VO räumt den Schutzsuchenden kein Recht ein, den ihren Antrag prüfenden Staat selber auszuwählen (vgl. BVGE 2010/45 E. 8.3). Soweit er geltend macht, er habe Familie in der Schweiz, ist festzuhalten, dass die Zuständigkeitskriterien zum Schutze der Familieneinheit (Art. 9 ff. Dublin-III-VO) hier offensichtlich nicht einschlägig sind (vgl. auch unten E. 6.2.3). Ohnehin hat im Rahmen eines Wiederaufnahmeverfahrens grundsätzlich keine neuerliche Zuständigkeitsprüfung stattzufinden (vgl. BVGE 2019 VI/7 E. 6.3 ff.; 2017 VI/5 E. 6.2 und 8.2.1 m.w.H.).</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Das Bundesverwaltungsgericht geht in ständiger Rechtsprechung davon aus, dass das deutsche Asylsystem keine systemischen Mängel im Sinne von Art. 3 Abs. 2 zweiter Satz Dublin-III-VO aufweist (vgl. statt vieler: Urteil des BVGer F-3156/2023 vom 8. Juni 2023 E. 7).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6.2.1</w:t>
      </w:r>
    </w:p>
    <w:p>
      <w:r>
        <w:t>Der Beschwerdeführer vermag nicht darzutun, dass er in Deutschland kein faires Asylverfahren erhalten und er ernsthaft Gefahr laufen würde, bei einer Rückkehr dorthin unmenschlich im Sinne von Art. 3 EMRK behandelt zu werden.</w:t>
      </w:r>
    </w:p>
    <w:p>
      <w:r>
        <w:rPr>
          <w:b/>
        </w:rPr>
        <w:t>E. 6.2.2</w:t>
      </w:r>
    </w:p>
    <w:p>
      <w:r>
        <w:t>Der Beschwerdeführer macht geltend, seine Cousine sei vor ein paar Jahren in Deutschland gewesen und von den deutschen Behörden nach Afghanistan zurückgeschickt worden, wo sie im Krieg gestorben sei sowie dass er in der Schweiz bleiben wolle, wo niemand abgeschoben werde. Hierzu ist festzuhalten, dass keine stichhaltige Gründe für die Annahme vorliegen, Deutschland werde den Grundsatz des Non-Refoulements missachten und den Beschwerdeführer zur Ausreise in ein Land zwingen, in dem sein Leib, sein Leben oder seine Freiheit aus einem Grund nach Art. 3 Abs. 1 AsylG gefährdet wären oder in dem er Gefahr laufen würde, zur Ausreise in ein solches Land gezwungen zu werden.</w:t>
      </w:r>
    </w:p>
    <w:p>
      <w:r>
        <w:rPr>
          <w:b/>
        </w:rPr>
        <w:t>E. 6.2.3</w:t>
      </w:r>
    </w:p>
    <w:p>
      <w:r>
        <w:t>Soweit der Beschwerdeführer vorbringt, er habe in der Schweiz Bekannte, die ihn bei der Integration und anderweitig unterstützen könnten, weshalb er hierbleiben wolle, ist er erneut darauf hinzuweisen, dass die Dublin-III-VO kein Recht einräumt, den Antrag prüfenden Staat selber auszuwählen. Zudem kann er sich - auch wenn er auf Beschwerdeebene neu vorbringt, es handle sich dabei teilweise um Familie - offensichtlich nicht auf Art. 8 EMRK berufen (vgl. BGE 144 II 1 E. 6.1; 135 I 143 E. 3.1). Ohnehin ist dieses nicht näher ausgeführte Vorbringen, wonach er Verwandte in der Schweiz habe, als nachgeschoben zu qualifizieren. Den Akten sind keine Verwandtschaftsverhältnisse zu entnehmen. Entsprechend hat auch der Beschwerdeführer anlässlich des Eintritts in das Bundesasylzentrum (vgl. act. SEM 1255233-4/1) und auch anlässlich des Dublin-Gesprächs (vgl. act. SEM 1255233-12/2 S. 1) erklärt, er habe keine Verwandten in der Schweiz.</w:t>
      </w:r>
    </w:p>
    <w:p>
      <w:r>
        <w:rPr>
          <w:b/>
        </w:rPr>
        <w:t>E. 6.2.4</w:t>
      </w:r>
    </w:p>
    <w:p>
      <w:r>
        <w:t>Was den medizinischen Sachverhalt anbelangt, erklärte der Beschwerdeführer anlässlich des Dublin-Gesprächs vom 8. Juni 2023, dass er aufgrund von Schlägen durch die Taliban auf (...) (vgl. act. SEM 1255233-12/2 S. 2). Allerdings ist den Akten nicht zu entnehmen, dass er gegenüber dem zuständigen Gesundheitsdienst des Bundesasylzentrums gesundheitliche Beschwerden vorgetragen hätte, obwohl er vom SEM an diesen verwiesen worden ist. Zudem macht der Beschwerdeführer auf Beschwerdeebene keine gesundheitlichen Beschwerden mehr geltend. Dennoch kann festgehalten werden, dass die (...) kein gesundheitliches Problem von solcher Schwere darstellt, welches die Schweiz zu einem Selbsteintritt verpflichten würde (vgl. zur Rechtsprechung statt vieler: D-3352/2023 vom 19. Juni 2023 E. 8.3.2). Im Übrigen verfügt Deutschland zweifellos über eine ausreichende medizinische Infrastruktur (vgl. Urteil des BVGer F-3156/2023 vom 8. Juni 2023 E. 8.5), so dass der Beschwerdeführer auch dort behandelt werden könnte. Es liegen keine Hinweise vor, wonach Deutschland dem Beschwerdeführer eine adäquate medizinische Behandlung verweigern würde.</w:t>
      </w:r>
    </w:p>
    <w:p>
      <w:r>
        <w:rPr>
          <w:b/>
        </w:rPr>
        <w:t>E. 6.3</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6.4</w:t>
      </w:r>
    </w:p>
    <w:p>
      <w:r>
        <w:t>Nach dem Gesagten liegen weder völkerrechtliche Vollzugshindernisse vor, welche die Schweiz zum Selbsteintritt verpflichten würden, noch Rechtsfehler bei der Ermessenbetätigung. Folglich besteht kein Grund für einen Selbsteintritt der Schweiz gemäss Art. 29a Abs. 3 AsylV 1 in Verbindung mit Art. 17 Dublin-III-VO. Deutschland bleibt zuständiger Mitgliedstaat gemäss Dublin-III-VO und ist verpflichtet, den Beschwerdeführer wiederaufzunehmen. Daran vermögen auch die eingereichten fremdsprachige Dokumente - mutmasslich aus Afghanistan - nichts zu ändern. Es ist nicht ersichtlich, inwiefern diese Dokumente im vorliegenden Dublin-Verfahren von Relevanz sein könnten respektive ist kein Zusammenhang zur vorliegenden Zuständigkeitsfrage erkennbar. Entsprechendes legt der Beschwerdeführer auch nicht dar. Diese Dokumente sind folglich bei den deutschen Behörden, die für die Durchführung des Asylverfahrens zuständig sind, einzureichen. Eine Übersetzung dieser Dokumente kann unterbleiben.</w:t>
      </w:r>
    </w:p>
    <w:p>
      <w:r>
        <w:rPr>
          <w:b/>
        </w:rPr>
        <w:t>E. 7</w:t>
      </w:r>
    </w:p>
    <w:p>
      <w:r>
        <w:t>Die Vorinstanz ist zu Recht in Anwendung von Art. 31a Abs. 1 Bst. b AsylG auf das Asylgesuch des Beschwerdeführers nicht eingetreten und hat die Überstellung nach Deutschland angeordnet. Die Beschwerde ist abzuweisen.</w:t>
      </w:r>
    </w:p>
    <w:p>
      <w:r>
        <w:rPr>
          <w:b/>
        </w:rPr>
        <w:t>E. 8.1</w:t>
      </w:r>
    </w:p>
    <w:p>
      <w:r>
        <w:t>Der am 23. Juni 2023 verfügte Vollzugsstopp fällt mit dem vorliegenden Urteil dahin.</w:t>
      </w:r>
    </w:p>
    <w:p>
      <w:r>
        <w:rPr>
          <w:b/>
        </w:rPr>
        <w:t>E. 8.2</w:t>
      </w:r>
    </w:p>
    <w:p>
      <w:r>
        <w:t>Mit dem Entscheid in der Hauptsache sind die Gesuche um Erteilung der aufschiebenden Wirkung und um Verzicht auf die Erhebung eines Kostenvorschusses gegenstandlos geworden.</w:t>
      </w:r>
    </w:p>
    <w:p>
      <w:r>
        <w:rPr>
          <w:b/>
        </w:rPr>
        <w:t>E. 8.3</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