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D-3547/2015 vom 12. August 2015</w:t>
      </w:r>
    </w:p>
    <w:p>
      <w:r>
        <w:t>Bundesverwaltungsgericht, 2015-08-12, DE</w:t>
      </w:r>
    </w:p>
    <w:p>
      <w:r>
        <w:rPr>
          <w:b/>
        </w:rPr>
        <w:t xml:space="preserve">Quelle: </w:t>
      </w:r>
      <w:r>
        <w:t>https://mcp.opencaselaw.ch/entscheid/bvger_D-3547_2015</w:t>
      </w:r>
    </w:p>
    <w:p>
      <w:r>
        <w:t>FR: TAF D-3547/2015 du 12 août 2015</w:t>
      </w:r>
    </w:p>
    <w:p>
      <w:r>
        <w:t>IT: TAF D-3547/2015 del 12 agosto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wird aus prozessökonomischen Gründen in Englisch akzeptiert, und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5</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dies ist vorliegend der Fall.</w:t>
      </w:r>
    </w:p>
    <w:p>
      <w:r>
        <w:rPr>
          <w:b/>
        </w:rPr>
        <w:t>E. 6.1</w:t>
      </w:r>
    </w:p>
    <w:p>
      <w:r>
        <w:t>Die Vorinstanz kann ein im Ausland gestelltes Asylgesuch ablehnen, wenn die asylsuchende Person keine Verfolgung glaubhaft machen kann oder ihr die Aufnahme in einem Drittstaat zugemutet werden kann (vgl. Art. 3, Art. 7 und aArt. 52 Abs. 2 AsylG).</w:t>
      </w:r>
    </w:p>
    <w:p>
      <w:r>
        <w:rPr>
          <w:b/>
        </w:rPr>
        <w:t>E. 6.2</w:t>
      </w:r>
    </w:p>
    <w:p>
      <w:r>
        <w:t>Gemäss aArt. 20 Abs. 2 AsylG bewilligt die Vorinstanz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6.3</w:t>
      </w:r>
    </w:p>
    <w:p>
      <w:r>
        <w:t>Nach Prüfung der Akten durch das Gericht ist festzustellen, dass die Vorinstanz in der angefochtenen Verfügung überzeugend dargelegt hat, dass den vom Beschwerdeführer geltend gemachtem Schwierigkeiten und Behelligungen keine einreiserelevante Bedeutung zukommt. Es kann deshalb vorab auf die vorinstanzlichen Erwägungen verwiesen werden (vgl. vorstehend unter D.). An dieser Einschätzung können auch die weiteren Ausführungen des Beschwerdeführers in seiner Rechtsmitteleingabe sowie die auf Beschwerdeebene eingereichten Unterlagen nichts ändern, zumal er im Wesentlichen an seinen bisherigen Ausführungen und deren Asylrelevanz festhält. Das Bundesverwaltungsgericht schliesst sich somit den Ausführungen der Vorinstanz vollumfänglich an, zumal sich aus der Beschwerde nichts ergibt, was die Erwägungen der Vorinstanz entkräften könnte.</w:t>
      </w:r>
    </w:p>
    <w:p>
      <w:r>
        <w:rPr>
          <w:b/>
        </w:rPr>
        <w:t>E. 6.4</w:t>
      </w:r>
    </w:p>
    <w:p>
      <w:r>
        <w:t>Somit ist es dem Beschwerdeführer nicht gelungen, eine aktuelle Gefähr­dung im Sinne von Art. 3 AsylG aufzuzeigen, welche die Bewilligung der Einreise in die Schweiz rechtfertigen würde. Die Schutzbedürftigkeit des Beschwerdeführers im Sinne von aArt. 20 i.V.m. Art. 3 AsylG ist nicht gegeben. Im Übrigen ist auch eine Beziehungsnähe des Beschwerdefüh­rers zur Schweiz zu verneinen (aArt. 52 Abs. 2 AsylG). Die Vorinstanz hat dem Beschwerdeführer zu Recht die Einreise in die Schweiz verweigert und das Asylgesuch abgelehnt.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