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D-3540/2010 vom 17. August 2011</w:t>
      </w:r>
    </w:p>
    <w:p>
      <w:r>
        <w:t>Bundesverwaltungsgericht, 2011-08-17, DE</w:t>
      </w:r>
    </w:p>
    <w:p>
      <w:r>
        <w:rPr>
          <w:b/>
        </w:rPr>
        <w:t xml:space="preserve">Quelle: </w:t>
      </w:r>
      <w:r>
        <w:t>https://mcp.opencaselaw.ch/entscheid/bvger_D-3540_2010</w:t>
      </w:r>
    </w:p>
    <w:p>
      <w:r>
        <w:t>FR: TAF D-3540/2010 du 17 août 2011</w:t>
      </w:r>
    </w:p>
    <w:p>
      <w:r>
        <w:t>IT: TAF D-3540/2010 del 17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besteht nicht,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Vorliegend wurde auf die Durchführung eines Schriftenwechsels verzichtet (vgl.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sich bezüglich der Gefährdung seines Vaters in widersprüchliche Aussagen verstrickt. So habe er während der Erstbefragung angegeben, sein Vater sei bei einem Protest anlässlich der Trauerfeier für den ermordeten religiösen Führer von den iranischen Sicherheitsbehörden erkannt, erwischt und darauffolgend bedroht worden. Deshalb hätten sie nicht mehr im Iran bleiben können und seien gezwungen gewesen, wieder in den Irak auszureisen. Bei der Bundesanhörung habe der Beschwerdeführer hingegen ausgeführt, die Sicherheitsbehörden hätten seinen Vater bei der Protestdemonstration nicht gesehen. Vier Jahre nach dieser Demonstration hätten Freunde des Vaters diesen gewarnt, dass die Sicherheitsbehörden von dessen Mitgliedschaft bei der KDPI wüssten und er deshalb im Iran nicht mehr sicher sei. Bei der Bundesanhörung habe der Beschwerdeführer zudem angeführt, er sei wegen seines Vaters in der Schule aufgesucht und angewiesen worden, diesem auszurichten, er habe sich bei den Behörden zu melden. Ausserdem hätte er sich den Basidj anschliessen sollen. Diesbezüglich sei anzumerken, dass der Beschwerdeführer diese Ereignisse anlässlich der Erstbefragung mit keinem Wort erwähnt habe, weshalb ohnehin gewisse Zweifel an deren Glaubhaftigkeit bestünden. Weiter handle es sich bei den Basidj um eine Einheit, die sich aus vorwiegend jugendlichen Freiwilligen zusammensetze und gegenwärtig vor allem zur Unterdrückung der Opposition eingesetzt werde. Für eine Zugehörigkeit werde absolute Loyalität gegenüber dem Regime vorausgesetzt. Im Falle des Beschwerdeführers könne nicht gesagt werden, dass sich dieser als besonders loyal gegenüber dem Regime gezeigt oder sich gar als Freiwilliger gemeldet hätte. Dass die iranischen Behörden dennoch ein Interesse an seiner Rekrutierung gehabt haben sollen, sei vor diesem Hintergrund als realitätsfremd zu werten. Dies umso mehr, als nach eigenen Angaben sein Vater zur gleichen Zeit wegen Zugehörigkeit zur regimefeindlichen KDPI gesucht worden sei. Daraus ergebe sich, dass dem Beschwerdeführer die angeblich geplante Rekrutierung zu den Basidj sowie die Gefährdung seines Vaters seitens der iranischen Sicherheitsbehörden nicht geglaubt werden könne. Folglich sei auch die Gefährdung des Beschwerdeführers bei einer Rückkehr in den Iran wegen seines Vaters als unglaubhaft zu werten. Auch die eigene Mitgliedschaft des Beschwerdeführers bei der KDPI ver­möge keine begründete Furcht vor asylrelevanter Verfolgung bei einer Rückkehr in den Iran zu begründen. Der Beschwerdeführer sei eigenen Angaben zufolge erst nach der Einreise in den Irak Mitglied der Partei geworden und dies nur, weil sein Vater die ganze Familie angemeldet habe. Selbst sei er kaum politisch aktiv gewesen und habe lediglich an einigen Versammlungen teilgenommen und Zeitschriften verteilt. Folglich könne ausgeschlossen werden, dass er im Iran als KDPI-Mitglied überhaupt erkannt, geschweige denn als ernsthafte Bedrohung für das Regime wahrgenommen worden sei und deswegen eine asylrelevante Verfolgung zu befürchten hätte. Der Beschwerdeführer habe zudem geltend gemacht, er sei im Irak von kurdischen Terroristen regelmässig erpresst und zuletzt mit dem Tod bedroht worden. Ausserdem sei er im Jahre (...) auch von einer Gruppe von Arabern überfallen und mit einem Messer am Bein verletzt worden. Dabei handle es sich um Ereignisse, welche dem Beschwerdeführer im Irak widerfahren seien. Da er sich diesen Behelligungen allerdings durch einen Wegzug in sein Heimatland Iran - wo ihm keine asylrelevante Verfolgung drohe - entziehen könne, sei er diesbezüglich nicht auf den Schutz der Schweiz angewiesen.</w:t>
      </w:r>
    </w:p>
    <w:p>
      <w:r>
        <w:rPr>
          <w:b/>
        </w:rPr>
        <w:t>E. 3.2</w:t>
      </w:r>
    </w:p>
    <w:p>
      <w:r>
        <w:t>Demgegenüber brachte der Beschwerdeführer in seiner Rechtsmitteleingabe im Wesentlichen vor, die Situation der Kurden habe sich nach der Machtübernahme durch das Mullah-Regime verschlimmert und die Unterdrückung habe in den letzten Monaten an Intensität zugenommen. So seien letzthin fünf Kurden, die aus politischen Gründen inhaftiert gewesen seien, ohne fairen Prozess hingerichtet worden. Dutzende weitere Kurden seien noch im Gefängnis, die das gleiche Schicksal erleiden könnten. Der Krieg zwischen den Kurden und den iranischen Sicherheitskräften halte - wenn auch nicht in einer intensiven Form - noch immer an. Die KDPI gelte noch immer als verbotene Partei im Iran und deren Mitglieder und ihre Familien würden Gefahr laufen, von den iranischen Sicherheitskräften verhaftet, gefoltert, zu langen Gefängnisstrafen verurteilt oder gar ermordet zu werden. Das Mullah-Regime betreibe sowohl im Iran als auch im Ausland Staatsterrorismus. Vor dem Hintergrund dieser Tatsache sei davon auszugehen, dass seine Vorbringen der Wahrheit entsprechen würden. Um die Entführung seines Vaters und seines Bruders und ihre Mitgliedschaft in der KDPI zu beweisen, habe er diesbezüglich versucht, bei der KDPI eine Bestätigung erhältlich zu machen. Er habe im Weiteren das Erlebte detailliert und plausibel dargelegt und die Sachlage weder dramatisiert noch übertrieben. Sein Vater und somit die ganze Familie sei wegen dessen Mitgliedschaft bei der KDPI im Visier des iranischen Geheimdienstes gestanden. Es sei eine bekannte Methode des iranischen Staates, dass in solchen Fällen alle erwachsenen Männer in der Familie als "Terroristen" gelten würden. Er habe zu Protokoll gegeben, dass er sich selber für Politik interessiert habe und auch selber Mitglied der KDPI sei. Es müsse in Gesamtwürdigung des Falles zumindest von einer Reflexverfolgung seiner Person ausgegangen werden. Die Schweizerische Asylrekurskommission (ARK) habe die Existenz einer solchen Reflexverfolgung für Familienmitglieder von gesuchten oder inhaftierten Personen wiederholt anerkannt (vgl. Entscheidungen und Mitteilungen der Schweizerischen Asylrekurskommission [EMARK] 1993 Nr. 6, EMARK 1994 Nr. 5). Bezüglich des Vorhalts widersprüchlicher und unglaubhafter Angaben sei es eine Tatsache, dass sich die Mullah-Diktatur mit allen Mitteln an der Macht zu halten versuche. Gegen die Oppositionellen würden unter anderem auch die Basidj-Milizen eingesetzt, deren Mitglieder eher jung seien und vor allem in den Schulen rekrutiert würden. Da sein Vater damals mit dem iranischen Geheimdienst zusammengearbeitet habe, habe ein Vertrauen zwischen der Familie und dem erwähnten Geheimdienst bestanden. Aus diesem Grund habe man von ihm verlangt, sich der Basidj anzuschliessen. Die anderweitigen Ausführungen der Vorinstanz seien als unzutreffend zu erachten. Weiter sei der Vorhalt der Vorinstanz, wonach seine Mitgliedschaft bei der KDPI nicht asylrelevant sei, als realitätsfremd zu erachten. So sei weltweit bekannt, dass der Iran täglich Oppositionelle hinrichte und jeder, der sich nicht mit dem Mullah-Regime einverstanden erkläre, als Feind des Regimes gelte, der es verdient habe, liquidiert zu werden. Da die KDPI seit ihrer Gründung für die Rechte des kurdischen Volkes kämpfe, würden deren Mitglieder und Sympathisanten als Feinde des Regimes gelten und mit allen Mitteln bekämpft. Aufgrund der vorherigen Zusammenarbeit seines Vaters mit dem Geheimdienst sei seine Familie den iranischen Behörden bekannt. Allein aus diesem Grund könne er nicht in den Iran zurückkehren. Im Falle einer Rückkehr würde er mit an Sicherheit grenzender Wahrscheinlichkeit festgenommen und danach sehr wahrscheinlich hingerichtet. Somit vermöchten seine übereinstimmenden Vorbringen den Anforderungen von Art. 7 an die Glaubhaftigkeit und von Art. 3 AsylG an die Flüchtlingseigenschaft zu genügen.</w:t>
      </w:r>
    </w:p>
    <w:p>
      <w:r>
        <w:rPr>
          <w:b/>
        </w:rPr>
        <w:t>E. 4.1</w:t>
      </w:r>
    </w:p>
    <w:p>
      <w:r>
        <w:t>Das Bundesverwaltungsgericht gelangt nach Prüfung der Akten zum Schluss, dass das BFM im Rahmen der Prüfung der Asylvorbringen aufgrund der ausgeführten einzelnen Aspekte zu Recht erkannt hat, dem vom Beschwerdeführer in der vorgebrachten Form geltend gemachten Sachverhalt könne keine Grundlage zuerkannt werden, die die Voraussetzungen an die Flüchtlingseigenschaft gemäss Art. 3 AsylG respektive an die Glaubhaftigkeit gemäss Art. 7 AsylG erfüllen könnte.</w:t>
      </w:r>
    </w:p>
    <w:p>
      <w:r>
        <w:rPr>
          <w:b/>
        </w:rPr>
        <w:t>E. 4.2.1</w:t>
      </w:r>
    </w:p>
    <w:p>
      <w:r>
        <w:t>Die Entgegnungen in der Rechtsmitteleingabe vermögen in entscheidrelevanter Hinsicht nicht zu überzeugen. So vermag der pauschale Hinweis in der Rechtsmitteleingabe, wonach es eine Tatsache sei, dass sich die Mullah-Diktatur mit allen Mitteln an der Macht zu halten versuche, die von der Vorinstanz aufgezeigten Ungereimtheiten im Sachverhaltsvortrag des Beschwerdeführers - insbesondere hinsichtlich der angeführten Gefährdung des Vaters durch die iranischen Sicherheitsbehörden - nicht als glaubhaft darzustellen. Das BFM hielt zu Recht und mit zutreffender Begründung fest, dass die Angaben des Beschwerdeführers zu den Umständen, wie und wann die iranischen Sicherheitsbehörden seinen Vater als KDPI-Mitglied enttarnt sowie als Teilnehmer der Protestkundgebung im Jahre (...) erkannt hätten, klar widersprüchlich ausfielen und demnach von der Vorinstanz korrekt als unglaubhaft qualifiziert wurden. Zwar kommt dem Protokoll des Empfangszentrums angesichts des summarischen Charakters nur ein beschränkter Beweiswert zu. Widersprüche dürfen aber für die Beurteilung der Glaubhaftigkeit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im Empfangszentrum zumindest ansatzweise erwähnt werden (vgl. EMARK 1993 Nr. 3). Wie oben dargelegt widersprechen sich die Asylvorbringen des Beschwerdeführers zur angeblichen Gefährdung seines Vaters in wesentlichen Punkten in klarer Weise, weshalb die Vorinstanz die erwähnten Widersprüche zu Recht zur Beurteilung der Glaubhaftigkeit heranzog. Überdies bestätigte der Beschwerdeführer am Schluss der jeweiligen Befragungen die Korrektheit und Wahrheit seiner Angaben nach Rückübersetzung unterschriftlich, weshalb er sich bei seinen Aussagen behaften lassen muss. Weiter bringt der Beschwerdeführer vor, dass die iranischen Behörden gegen die Oppositionellen unter anderem auch die Basidj-Milizen einsetzen würden, deren Mitglieder eher jung seien und vor allem in den Schulen rekrutiert würden. Da sein Vater damals mit dem iranischen Geheimdienst zusammengearbeitet habe, habe ein Vertrauen zwischen der Familie und dem erwähnten Geheimdienst bestanden. Aus diesem Grund habe man von ihm verlangt, sich der Basidj anzuschliessen. Dieses Vorbringen ist in casu jedoch als nicht stichhaltig zu erachten, sei doch sein Vater von der Etelaat gezwungen worden, mit dieser zusammen zu arbeiten (vgl. act. A30/21, S. 13), weshalb von einer Vertrauensgrundlage zwischen dieser und der Familie des Beschwerdeführers kaum die Rede sein kann. Ferner bringt der Beschwerdeführer in seiner Rechtsmitteleingabe zum Vorhalt, wonach er nur anlässlich der Bundesanhörung - nicht jedoch bei der Erstbefragung - angegeben habe, er sei wegen seines Vaters in der Schule aufgesucht und angewiesen worden, diesem auszurichten, er habe sich bei den Behörden zu melden, und er sei zudem aufgefordert worden, sich den Basidj anzuschliessen, was gemäss BFM Anlass zu Zweifeln an der Glaubhaftigkeit dieser Vorbringen gebe, keinerlei stichhaltigen Argumente vor, die die vorinstanzliche Einschätzung umzustossen vermöchten. Deshalb kann diesbezüglich zur Vermeidung von Wiederholungen vollumfänglich auf die vorinstanzlichen Erwägungen verwiesen werden, die zu bestätigen sind. Jedenfalls vermag der pauschale Hinweis, dass das Mullah-Regime sowohl im Iran als auch im Ausland Staatsterrorismus betreibe und vor dem Hintergrund dieser Tatsache davon auszugehen sei, seine Vorbringen würden der Wahrheit entsprechen, an obiger Erkenntnis nichts zu ändern. Soweit der Beschwerdeführer in diesem Zusammenhang in seiner Rechtsmitteleingabe anführt, er habe versucht, bei der KDPI eine Bestätigung erhältlich zu machen, um die Entführung seines Vaters und seines Bruders und ihre Mitgliedschaft in der KDPI zu beweisen, ist festzustellen, dass er bis dato keine solche Bestätigung zu den Akten gereicht hat. Er hat im Übrigen im bisherigen Verlauf des Verfahrens an keiner Stelle eine Entführung eines seiner Familienangehörigen erwähnt.</w:t>
      </w:r>
    </w:p>
    <w:p>
      <w:r>
        <w:rPr>
          <w:b/>
        </w:rPr>
        <w:t>E. 4.2.2</w:t>
      </w:r>
    </w:p>
    <w:p>
      <w:r>
        <w:t>Als Zwischenresultat ist somit festzuhalten, dass die vom Beschwerdeführer angeführte Gefährdung seines Vaters wegen dessen Zugehörigkeit zur KDPI seitens der iranischen Sicherheitskräfte sowie die beabsichtigte Rekrutierung seiner Person für die Basidj nicht glaubhaft gemacht werden konnten. Daher ist eine daraus resultierende Gefährdung des Beschwerdeführers bei einer Rückkehr in den Iran als unglaubhaft zu qualifizieren, weshalb nicht davon auszugehen ist, dass sein Vater, der Beschwerdeführer selber oder andere Familienmitglieder im Visier der iranischen Behörden gestanden haben könnten. Für seine Befürchtung, er könnte einer Reflexverfolgung (staatliche Repressalien gegen Familienangehörige eines flüchtigen Aktivisten) ausgesetzt werden, bestehen demnach keine objektiven Hinweise.</w:t>
      </w:r>
    </w:p>
    <w:p>
      <w:r>
        <w:rPr>
          <w:b/>
        </w:rPr>
        <w:t>E. 4.2.3</w:t>
      </w:r>
    </w:p>
    <w:p>
      <w:r>
        <w:t>Der Beschwerdeführer bringt hinsichtlich seiner Mitgliedschaft zur KDPI vor, da der Krieg zwischen den Kurden und den iranischen Sicherheitskräften noch immer anhalte und die KDPI noch immer als verbotene Partei im Iran gelte, würden unter anderem deren Mitglieder Gefahr laufen, von den iranischen Sicherheitskräften verhaftet, gefoltert, zu langen Gefängnisstrafen verurteilt oder gar ermordet zu werden. Diesbezüglich kann dem Beschwerdeführer jedoch keine begründete Furcht vor zukünftiger Verfolgung attestiert werden. So wurde er erst nach seiner Einreise in den Irak Mitglied der KDPI und führte dort lediglich zeitlich limitierte und untergeordnete Aktivitäten für die Partei aus. Dass dem iranischen Regime seine Mitgliedschaft unter diesen Umständen und aufgrund obiger Erwägungen zur Glaubhaftigkeit in irgendeiner Weise bekannt geworden wäre, ist vorliegend auszuschliessen. Die auf Beschwerdeebene erwähnten Geschehnisse im Zusammenhang mit der Situation der kurdischen Bevölkerung im Iran (Hinrichtungen, Ermordungen, Verurteilungen) vermögen zu keiner anderen Beurteilung des Sachverhaltes zu führen, zumal die geschilderten Probleme und Verfolgungsmassnahmen grundsätzlich politisch aktive und exponierte Kurden betreffen.</w:t>
      </w:r>
    </w:p>
    <w:p>
      <w:r>
        <w:rPr>
          <w:b/>
        </w:rPr>
        <w:t>E. 4.2.4</w:t>
      </w:r>
    </w:p>
    <w:p>
      <w:r>
        <w:t>Insofern der Beschwerdeführer schliesslich auf die im Irak erlittenen Probleme mit kurdischen Terroristen und Arabern hinweist, ist anzuführen, dass er sich diesen Behelligungen - wie die Vorinstanz im angefochtenen Entscheid zutreffend erwog - durch einen Wegzug in seine Heimat, wo er keiner asylrelevanten Verfolgung ausgesetzt ist, entziehen kann, weshalb diese asylrechtlich unbeachtlich bleiben.</w:t>
      </w:r>
    </w:p>
    <w:p>
      <w:r>
        <w:rPr>
          <w:b/>
        </w:rPr>
        <w:t>E. 4.3</w:t>
      </w:r>
    </w:p>
    <w:p>
      <w:r>
        <w:t>Zusammenfassend ist festzuhalten, dass der Beschwerdeführer die Voraussetzungen zur Zuerkennung der Flüchtlingseigenschaft nicht erfüllt. Die Vorinstanz hat daher zu Recht das Asylgesuch des Beschwerdeführers abgelehnt. Es erübrigt sich, auf die weiteren Ausführungen in der Rechtsmitteleingabe einzugehen, da sie an dieser Würdigung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Iran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zumal - wie oben unter Erwägung. 4 eingehend dargelegt wurde - die geltend gemachte Verfolgungssituation einerseits nicht geglaubt und andererseits als nicht asylrelevant werden kann. Auch die Hinweise auf die allgemeine Menschenrechtssituation im Iran vermögen diesbezüglich zu keiner anderen Beurteilung des Sachverhaltes zu führen. Sodann lassen sich auch aus der Zugehörigkeit des Beschwerdeführers zur Volksgruppe der Kurden keine Anhaltspunkte für eine Gefährdung entnehmen. Die rund 5 Millionen Kurden im Iran (7 % der iranischen Gesamtbevölkerung) leben vorwiegend im Nordwesten des Landes. Als Mehrheit der Bevölkerung in dieser Region haben sie - sofern nicht politisch exponiert - keine Probleme mit den iranischen Behörden zu befürchten.</w:t>
      </w:r>
    </w:p>
    <w:p>
      <w:r>
        <w:rPr>
          <w:b/>
        </w:rPr>
        <w:t>E. 6.2.4</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Bezüglich des Iran kann zum jetzigen Zeitpunkt nicht von Krieg, Bürgerkrieg oder von einer Situation allgemeiner Gewalt, welche für den Beschwerdeführer bei einer Rückkehr dorthin eine konkrete Gefährdung darstellen würde, gesprochen werden. An dieser Feststellung vermögen auch die Ereignisse im Zusammenhang mit der umstrittenen Präsidentenwahl vom Juni 2009 und der damit in Zusammenhang stehende Trend zu vermehrter Kontrolle und Überwachung der Zivilbevölkerung nichts zu ändern (vgl. BVGE 2009/28 E.7.3.1).</w:t>
      </w:r>
    </w:p>
    <w:p>
      <w:r>
        <w:rPr>
          <w:b/>
        </w:rPr>
        <w:t>E. 6.3.3</w:t>
      </w:r>
    </w:p>
    <w:p>
      <w:r>
        <w:t>Sodann bestehen auch keine anderen Hinweise, dass der Beschwerdeführer bei seiner Rückkehr in den Iran in eine konkrete, seine Existenz bedrohende Situation geraten könnte. Er ist jung, alleinstehend und soweit aktenkundig gesund. Zwar lebte er ab dem Jahre (...) respektive ab seinem (...) Lebensjahr zusammen mit seinen Eltern und Geschwistern im Irak, absolvierte jedoch seine gesamte (...) Schulbildung im Iran und spricht neben seiner Muttersprache Sorani auch gut Farsi (vgl. A1 S. 2). Zudem verfügt er über eine mehrjährige Berufserfahrung als Arbeiter auf dem Bau. Weiter ist davon auszugehen, dass seine im Iran verbliebenen Verwandten (Grosseltern, Onkel und Tanten) ihm bei der Integration behilflich sein werden (vgl. act. A1/13, S. 2; act. A30/21, S. 5).</w:t>
      </w:r>
    </w:p>
    <w:p>
      <w:r>
        <w:rPr>
          <w:b/>
        </w:rPr>
        <w:t>E. 6.3.4</w:t>
      </w:r>
    </w:p>
    <w:p>
      <w:r>
        <w:t>Angesichts der gesamten Umstände kann der Vollzug der Wegweisung auch als zumutbar bezeichnet werden.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BVGE 2008/34 E. 12 S. 513 ff.).</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