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D-3538/2012 vom 31. Juli 2012</w:t>
      </w:r>
    </w:p>
    <w:p>
      <w:r>
        <w:t>Bundesverwaltungsgericht, 2012-07-31, DE</w:t>
      </w:r>
    </w:p>
    <w:p>
      <w:r>
        <w:rPr>
          <w:b/>
        </w:rPr>
        <w:t xml:space="preserve">Quelle: </w:t>
      </w:r>
      <w:r>
        <w:t>https://mcp.opencaselaw.ch/entscheid/bvger_D-3538_2012</w:t>
      </w:r>
    </w:p>
    <w:p>
      <w:r>
        <w:t>FR: TAF D-3538/2012 du 31 juillet 2012</w:t>
      </w:r>
    </w:p>
    <w:p>
      <w:r>
        <w:t>IT: TAF D-3538/2012 del 31 luglio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Auslieferungsgesuches des Staates, vor welchem die beschwerdeführende Person Schutz sucht (Art. 105 des Asylgesetzes vom 26. Juni 1998 [AsylG, SR 142.31]; Art. 83 Bst. c Ziff. 1 und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1 AsylG; Art. 105 AsylG i.V.m. Art. 37 VGG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BVGE 2011/10 E. 3.3 S. 126).</w:t>
      </w:r>
    </w:p>
    <w:p>
      <w:r>
        <w:rPr>
          <w:b/>
        </w:rPr>
        <w:t>E. 5.1</w:t>
      </w:r>
    </w:p>
    <w:p>
      <w:r>
        <w:t>Die Schweiz gewährt Flüchtlingen unter Vorbehalt von Ausschluss­gründen auf Gesuch hin Asyl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w:t>
      </w:r>
    </w:p>
    <w:p>
      <w:r>
        <w:rPr>
          <w:b/>
        </w:rPr>
        <w:t>E. 6.1</w:t>
      </w:r>
    </w:p>
    <w:p>
      <w:r>
        <w:t>Der Beschwerdeführer begründete sein Asylgesuch im Wesentlichen damit, er fürchte sich aufgrund seiner zweijährigen Inhaftierung unter dem Verdacht, die LTTE unterstützt zu haben, davor, erneut behördlich festgenommen zu werden. So sei für ihn letztlich nicht plausibel, weshalb er überhaupt freigesprochen worden sei.</w:t>
      </w:r>
    </w:p>
    <w:p>
      <w:r>
        <w:rPr>
          <w:b/>
        </w:rPr>
        <w:t>E. 6.1.1</w:t>
      </w:r>
    </w:p>
    <w:p>
      <w:r>
        <w:t>Zunächst ist aufgrund der vom Beschwerdeführer eingereichten, unter Buchstabe J des Sachverhalts näher genannten Beweismittel davon auszugehen, dass dieser tatsächlich beinahe (...) lang im Gefängnis von C._______ inhaftiert und vorgängig mehrere Monate lang in Gewahrsam des CID sowie der Polizei von T._______ war. Im Weiteren ist aufgrund der vom Beschwerdeführer detailliert geschilderten Verhörmethoden des CID und der Polizei glaubhaft, dass er vor seiner Inhaftierung im Gefängnis von C._______ wiederholt auf massive Art und Weise misshandelt worden ist. Wiewohl die von ihm erlittenen Misshandlungen zweifellos als erhebliche Eingriffe in seine körperliche Integrität einzustufen sind, setzt die Anerkennung der Flüchtlingseigenschaft eine aktuelle Verfolgungsfurcht voraus und dient nicht dem Ausgleich vergangenen Unrechts (vgl. etwa Walter Kälin, Grundriss des Asylverfahrens, Basel/Frankfurt a. M. 1990, S. 127, und Walter Stöckli, Asyl, in: Uebersax/Rudin/Hugi Yar/Geiser [Hrsg.], Ausländerrecht, 2. Aufl., Basel 2009, Rz. 11.17). In diesem Zusammenhang deutet die auf Veranlassung der Generalstaatsanwaltschaft gerichtlich angeordnete Freilassung des Beschwerdeführers klar darauf hin, dass die Staatsanwaltschaft das Verfahren gegen den Beschwerdeführer letztlich mangels hinreichender Verdachtsmomente eingestellt und das Gericht von C._______ diesem Ansinnen der Generalstaatsanwaltschaft ohne Weiteres Rechnung getragen hat, indem es am (...) dessen Freilassung angeordnet hat. Die zuständigen Behörden gehen somit offenbar von der Unschuld des Beschwerdeführers aus. Daran vermag allem Anschein nach auch der Umstand, dass der Beschwerdeführer während der Polizeihaft nach eigener Darstellung eine behördlicherseits vorgefertigte fünfzehnseitige Erklärung, die er nicht habe lesen dürfen, welche mutmasslich aber ein Schuldeingeständnis seinerseits beinhaltet habe (vgl. act. A13/21 S. 7, Abs. 2 i.V.m. act. A15/13 S. 5 und 6), nichts zu ändern, legt die auf Antrag der Generalstaatsanwalt erfolgte gerichtliche Einstellung des Verfahrens doch den Schluss nahe, die Staatsanwaltschaft sei sich der Tatsache bewusst gewesen, dass es sich hierbei um ein unfreiwillig erfolgtes Ge­ständnis des Beschwerdeführers beziehungsweise ein auf unlautere Art zustande gekommenes Beweismittel gehandelt habe.</w:t>
      </w:r>
    </w:p>
    <w:p>
      <w:r>
        <w:rPr>
          <w:b/>
        </w:rPr>
        <w:t>E. 6.1.2</w:t>
      </w:r>
    </w:p>
    <w:p>
      <w:r>
        <w:t>Darüber hinaus sind den Akten objektiv keine hinreichenden Hinweise dafür zu entnehmen, dass der Beschwerdeführer nach seiner gerichtlichen Freilassung anfangs (...) weiteren Verfolgungshandlungen ausgesetzt gewesen ist: So behauptete er zwar, mehrere Personen, die sich als Angehörige des CID bezeichnet hätten, hätten ihn vor seiner gerichtlichen Entlassung aufgesucht und ihm gegenüber zum Ausdruck gebracht, dass sie ihn nach wie vor für schuldig hielten. Diese Aussage könnte zwar grundsätzlich als Indiz gewertet werden, dass staatliche Behörden ihm gegenüber signalisiert hätten, ihn auch nach seiner Freilassung nicht in Ruhe zu lassen. Soweit der Beschwerdeführer indessen in diesem Zusammenhang behauptet, zwei Personen in einem grünen Van hätten ihn nach seiner Freilassung einmal in W._______ verfolgt, bleibt anzumerken, dass dieser Vorfall nicht glaubhaft erscheint, weil der Beschwerdeführer diesbezüglich einmal vom 22. Dezember 2011 (vgl. act. A10/8 S. 3 unten), einmal vom 10. Januar 2012 (act. A13/21 S. 10) sprach. So besehen spricht nichts dafür, dass die sri-lankischen Behörden den Beschwerdeführer nach dessen gerichtlicher Freilassung Anfang (...) weiterhin behelligt haben. Aus diesem Grund ist eine begründete Furcht des Beschwerdeführers vor künftigen Verfolgungsmassnahmen seitens der staatlichen Sicherheitskräfte trotz der erlittenen (...) Haft in den Jahren (...) zu verneinen.</w:t>
      </w:r>
    </w:p>
    <w:p>
      <w:r>
        <w:rPr>
          <w:b/>
        </w:rPr>
        <w:t>E. 6.2</w:t>
      </w:r>
    </w:p>
    <w:p>
      <w:r>
        <w:t>Zusammenfassend ist festzuhalten, dass es dem Beschwerdeführer nicht gelungen ist, eine aktuelle Verfolgung im Sinne von Art. 3 AsylG glaubhaft zu machen. Es erübrigt sich, auf weitere Vorbringen in der Beschwerde einzugehen, da diese am Ergebnis nichts zu ändern vermögen. Das BFM hat dem Beschwerdeführer daher zu Recht die Einreise in die Schweiz verweigert und das Asylgesuch abgelehnt.</w:t>
      </w:r>
    </w:p>
    <w:p>
      <w:r>
        <w:rPr>
          <w:b/>
        </w:rPr>
        <w:t>E. 7</w:t>
      </w:r>
    </w:p>
    <w:p>
      <w:r>
        <w:t>Aus diesen Erwägungen ergibt sich, dass die angefochtene Verfügung Bundesrecht nicht verletzt, den rechtserheblichen Sachverhalt im Ergeb­nis richtig und vollständig feststellt und angemessen ist (Art. 106 Abs. 1 AsylG). Die Beschwerde ist demnach abzuweisen.</w:t>
      </w:r>
    </w:p>
    <w:p>
      <w:r>
        <w:rPr>
          <w:b/>
        </w:rPr>
        <w:t>E. 8</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