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D-3531/2023 vom 27. Juni 2023</w:t>
      </w:r>
    </w:p>
    <w:p>
      <w:r>
        <w:t>Bundesverwaltungsgericht, 2023-06-27, DE</w:t>
      </w:r>
    </w:p>
    <w:p>
      <w:r>
        <w:rPr>
          <w:b/>
        </w:rPr>
        <w:t xml:space="preserve">Quelle: </w:t>
      </w:r>
      <w:r>
        <w:t>https://mcp.opencaselaw.ch/entscheid/bvger_D-3531_2023</w:t>
      </w:r>
    </w:p>
    <w:p>
      <w:r>
        <w:t>FR: TAF D-3531/2023 du 27 juin 2023</w:t>
      </w:r>
    </w:p>
    <w:p>
      <w:r>
        <w:t>IT: TAF D-3531/2023 del 27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Beschwerdeführung legitimiert (Art. 48 Abs. 1 VwVG).</w:t>
      </w:r>
    </w:p>
    <w:p>
      <w:r>
        <w:rPr>
          <w:b/>
        </w:rPr>
        <w:t>E. 1.4</w:t>
      </w:r>
    </w:p>
    <w:p>
      <w:r>
        <w:t>Die Begründung der Beschwerde wurde in englischer Sprache und damit nicht in einer Amtssprache des Bundes abgefasst. Auf die Ansetzung einer Frist zur Beschwerdeverbesserung kann aus prozessökonomischen Gründen verzichtet werden, zumal die Beschwerde verständlich ist, so dass ohne Weiteres darüber befunden werden kann (vgl. Art. 52 Abs. 2 VwVG). Die Beschwerde wurde zudem fristgerecht eingereicht (Art. 108 Abs. 3 AsylG). Auf sie ist einzutreten.</w:t>
      </w:r>
    </w:p>
    <w:p>
      <w:r>
        <w:rPr>
          <w:b/>
        </w:rPr>
        <w:t>E. 1.5</w:t>
      </w:r>
    </w:p>
    <w:p>
      <w:r>
        <w:t>Der Entscheid ergeht in deutscher Sprache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 Sprung, Dublin-III-Verordnung, 2014, K. 19 zu Art. 20).</w:t>
      </w:r>
    </w:p>
    <w:p>
      <w:r>
        <w:rPr>
          <w:b/>
        </w:rPr>
        <w:t>E. 4.4</w:t>
      </w:r>
    </w:p>
    <w:p>
      <w:r>
        <w:t>Ein Abgleich des Fingerabdrucks des Beschwerdeführers mit der Fingerabdruck-Datenbank ergab, dass dieser am (...) in Kroatien ein Asylgesuch eingereicht hat. Das SEM ersuchte deshalb die kroatischen Behörden am 22. Mai 2023 um Wiederaufnahme des Beschwerdeführers. Nachdem die kroatischen Behörden dem Gesuch um Rückübernahme gestützt auf Art. 20 Abs. 5 Dublin-III-VO am 5. Juni 2023 zugestimmt haben, ist die Zuständigkeit Kroatiens somit grundsätzlich gegeben. Daran vermag der (implizite) Einwand des Beschwerdeführers, er habe in Kroatien kein Asylgesuch einreichen wollen, nichts zu ändern. Die Dublin-III-VO räumt den Schutzsuchenden kein Recht ein, den ihren Antrag prüfenden Staat selber auszuwählen (vgl. BVGE 2010/45 E. 8.3).</w:t>
      </w:r>
    </w:p>
    <w:p>
      <w:r>
        <w:rPr>
          <w:b/>
        </w:rPr>
        <w:t>E. 5.1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w:t>
      </w:r>
    </w:p>
    <w:p>
      <w:r>
        <w:t>Im Referenzurteil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Für eine Änderung der Rechtsprechung besteht auch in Würdigung der pauschalen Vorbringen des Beschwerdeführers anlässlich des Dublin-Gesprächs (Kroatien achte die Menschenrechte nicht) sowie in der Beschwerde (die kroatische Polizei habe ihn während fünf bis sechs Stunden festgehalten, sein Telefon beschlagnahmt und eine Untersuchung gegen ihn geführt sowie er habe Kroatien innert 24 Stunden verlassen müssen) keine Veranlassung.</w:t>
      </w:r>
    </w:p>
    <w:p>
      <w:r>
        <w:rPr>
          <w:b/>
        </w:rPr>
        <w:t>E. 5.3</w:t>
      </w:r>
    </w:p>
    <w:p>
      <w:r>
        <w:t>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6.2.1</w:t>
      </w:r>
    </w:p>
    <w:p>
      <w:r>
        <w:t>Der Beschwerdeführer vermag nicht darzutun, dass er in Kroatien - nach legaler Rückkehr aus einem Dublin-Mitgliedstaat - kein faires Asylverfahren erhalten und er ernsthaft Gefahr laufen würden, bei einer Rückkehr dorthin unmenschlich im Sinne von Art. 3 EMRK behandelt zu werden. Das Bundesverwaltungsgericht geht davon aus, dass Kroatien grundsätzlich als Rechtsstaat mit einem funktionierenden Justizsystem einzustufen ist (vgl. statt vieler: Urteil des BVGer D-2478/2023 vom 19. Juni 2023 E. 7.2).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namentlich auch in Bezug auf seine Vorbringen, Kroatien achte die Menschenrechte nicht, die kroatische Polizei habe ihn während fünf bis sechs Stunden festgehalten, sein Telefon beschlagnahmt und eine Untersuchung geführt sowie er habe Kroatien innert 24 Stunden verlassen müssen. Im Übrigen steht dem Beschwerdeführer die Möglichkeit offen, die vor Ort tätigen karitativen Organisationen zu kontaktieren.</w:t>
      </w:r>
    </w:p>
    <w:p>
      <w:r>
        <w:rPr>
          <w:b/>
        </w:rPr>
        <w:t>E. 6.2.2</w:t>
      </w:r>
    </w:p>
    <w:p>
      <w:r>
        <w:t>Soweit er in der Beschwerde geltend macht, er werde in Afghanistan von den Taliban mit dem Tod bedroht, ist festzuhalten, dass weder den Akten - zumal Kroatien zugesichert hat, den Beschwerdeführer wiederaufzunehmen - noch der Beschwerde stichhaltige Gründe für die Annahme zu entnehmen sind, Kroatien werde den Grundsatz des Non-Refoulements missachten und den Beschwerdeführer zur Ausreise in ein Land zwingen, in dem sein Leib, sein Leben oder seine Freiheit aus einem Grund nach Art. 3 Abs. 1 AsylG gefährdet wären oder in dem er Gefahr laufen würde, zur Ausreise in ein solches Land gezwungen zu werden.</w:t>
      </w:r>
    </w:p>
    <w:p>
      <w:r>
        <w:rPr>
          <w:b/>
        </w:rPr>
        <w:t>E. 6.2.3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6.2.4</w:t>
      </w:r>
    </w:p>
    <w:p>
      <w:r>
        <w:t>Den Akten ist nicht zu entnehmen, dass der Beschwerdeführer gegenüber dem SEM oder dem zuständigen Gesundheitsdienst des Bundes-asylzentrums gesundheitliche Beschwerden vorgetragen hätte. Vielmehr erklärte er anlässlich des Dublin-Gesprächs vom 17. Mai 2023, dass er keine gesundheitlichen Probleme habe (vgl. act. SEM 1250805-13/2 S. 2). Soweit er auf Beschwerdeebene neu vorbringt, er stehe nach wie vor unter enormem psychischen Druck und sein Zustand sei nicht gut, ist festzuhalten, dass die solchermassen dargelegte Drucksituation offensichtlich nicht die Feststellung der Unzulässigkeit im Sinne der genannten, restriktiven Rechtsprechung zu rechtfertigen vermag. Im Übrigen verfügt Kroatien grundsätzlich über eine ausreichende und hinreichend zugängliche medizinische Infrastruktur. Nötigenfalls wird der Beschwerdeführer in Kroatien eine psychologische Behandlung in Anspruch nehmen können (vgl. statt vieler: Urteil des BVGer E-2808/2023 vom 19. Juni 2023 E. 6.3.3 m.w.H.).</w:t>
      </w:r>
    </w:p>
    <w:p>
      <w:r>
        <w:rPr>
          <w:b/>
        </w:rPr>
        <w:t>E. 6.3</w:t>
      </w:r>
    </w:p>
    <w:p>
      <w:r>
        <w:t>Es liegen damit keine Gründe für einen zwingenden Selbsteintritt der Schweiz vor.</w:t>
      </w:r>
    </w:p>
    <w:p>
      <w:r>
        <w:rPr>
          <w:b/>
        </w:rPr>
        <w:t>E. 6.4</w:t>
      </w:r>
    </w:p>
    <w:p>
      <w:r>
        <w:t>Gemäss Praxis des Bundesverwaltungsgerichts verfügt die Vorinstanz sodann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demnach zu Recht gestützt auf Art. 31a Abs. 1 Bst. b AsylG auf die Asylgesuche nicht eingetreten und hat die Wegweisung nach Kroatien angeordnet. Nach dem Gesagten ist die Beschwerde abzuweisen.</w:t>
      </w:r>
    </w:p>
    <w:p>
      <w:r>
        <w:rPr>
          <w:b/>
        </w:rPr>
        <w:t>E. 8.1</w:t>
      </w:r>
    </w:p>
    <w:p>
      <w:r>
        <w:t>Der am 22. Juni 2023 verfügte Vollzugsstopp fällt mit dem vorliegenden Urteil dahin.</w:t>
      </w:r>
    </w:p>
    <w:p>
      <w:r>
        <w:rPr>
          <w:b/>
        </w:rPr>
        <w:t>E. 8.2</w:t>
      </w:r>
    </w:p>
    <w:p>
      <w:r>
        <w:t>Mit dem Entscheid in der Hauptsache ist das Gesuch um Erteilung der aufschiebenden Wirkung gegenstandslos geworden.</w:t>
      </w:r>
    </w:p>
    <w:p>
      <w:r>
        <w:rPr>
          <w:b/>
        </w:rPr>
        <w:t>E. 8.3</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