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D-352/2022 vom 7. Februar 2022</w:t>
      </w:r>
    </w:p>
    <w:p>
      <w:r>
        <w:t>Bundesverwaltungsgericht, 2022-02-07, DE</w:t>
      </w:r>
    </w:p>
    <w:p>
      <w:r>
        <w:rPr>
          <w:b/>
        </w:rPr>
        <w:t xml:space="preserve">Quelle: </w:t>
      </w:r>
      <w:r>
        <w:t>https://mcp.opencaselaw.ch/entscheid/bvger_D-352_2022</w:t>
      </w:r>
    </w:p>
    <w:p>
      <w:r>
        <w:t>FR: TAF D-352/2022 du 7 février 2022</w:t>
      </w:r>
    </w:p>
    <w:p>
      <w:r>
        <w:t>IT: TAF D-352/2022 del 7 febbraio 2022</w:t>
      </w:r>
    </w:p>
    <w:p>
      <w:pPr>
        <w:pStyle w:val="Heading2"/>
      </w:pPr>
      <w:r>
        <w:t>Regeste</w:t>
      </w:r>
    </w:p>
    <w:p>
      <w:r>
        <w:t>Asyl und Wegweisung (Mehrfachgesuch/Wiedererwägung)</w:t>
      </w:r>
    </w:p>
    <w:p>
      <w:pPr>
        <w:pStyle w:val="Heading2"/>
      </w:pPr>
      <w:r>
        <w:t>Erwägungen</w:t>
      </w:r>
    </w:p>
    <w:p>
      <w:r>
        <w:rPr>
          <w:b/>
        </w:rPr>
        <w:t>E. 30</w:t>
      </w:r>
    </w:p>
    <w:p>
      <w:r>
        <w:t>August 2021 (dortige E. 6.3 ff.) bereits aufgrund der mündlichen Aus- sagen der Beschwerdeführenden im ordentlichen Asylverfahren wegen er- heblicher Unstimmigkeiten verneint wurde, folglich auch das Wiedererwä- gungsgesuch als widersprüchlich zu bezeichnen ist, dass ungeachtet der Frage nach der verfahrensrechtlichen Einstufung und der entsprechenden Prüfungszuständigkeit (Wiedererwägungsverfahren oder Revisionsverfahren) und ungeachtet der Frage nach der Echtheit des betreffenden Dokuments festzustellen ist, dass aus der mit der Beschwer- deschrift als Beweismittel eingereichten angeblichen "Kurzfassung" eines Urteils des "Strafermittlungsgerichts F._______" vom 28. Juni 2020 ge- mäss vorliegender Übersetzung hervorgeht, der Beschwerdeführer werde dazu verpflichtet, den Gegenwert der ihm verliehenen, aber abhanden ge- kommenen Schusswaffe, bei welcher es sich um Staatseigentum handle, zurückzuzahlen, wobei er zur Vollstreckung dieses Urteils festgenommen werden könne, dass das genannte Beweismittel folglich offensichtlich in keiner Weise ge- eignet ist, eine asylrechtlich relevante Verfolgung des Beschwerdeführers glaubhaft zu machen, dass aus dem genannten Beweismittel vielmehr der Schluss zu ziehen wäre, der Beschwerdeführer werde in seinem Heimatstaat gerade nicht aus asylrechtlich beachtlichen Motiven gesucht, sollte gegen ihn, wie be- hauptet, tatsächlich zum heutigen Zeitpunkt ein gültiger Haftbefehl beste- hen, dass es sich angesichts dessen erübrigt, auf die sonstigen mit dem Wie- dererwägungsgesuch und der Beschwerdeschrift eingereichten Doku- mente näher einzugehen, welche das anhaltende Bestehen eines solchen asylrechtlich nicht relevanten Haftbefehls belegen sollen, dass seitens der Beschwerdeführerin (Ehefrau) zu keinem Zeitpunkt ei- gene Asylvorbringen geltend gemacht wurden, dass nach dem Gesagten auch der Antrag, die angefochtene Verfügung sei betreffend die Eltern zum Zweck der Ergänzung des Sachverhalts und der erneuten Beurteilung des Wiedererwägungsgesuchs aufzuheben, als offensichtlich unbegründet zu bezeichnen ist,</w:t>
      </w:r>
    </w:p>
    <w:p>
      <w:r>
        <w:t>D-352/2022 Seite 9 dass der Beschwerdeschrift auch sonst nichts zu entnehmen ist, was sich auf die zu beantwortenden Rechtsfragen auswirken könnte, dass die Beschwerde, welche sich darauf beschränkt, aus den angeführten Gründen die Aufhebung der angefochtenen Verfügung und die Zurückwei- sung der Sache an die Vorinstanz zu verlangen, folglich abzuweisen ist, dass damit das Gesuch um Erteilung der aufschiebenden Wirkung der Be- schwerde gegenstandslos und die am 25. Januar 2022 verfügte einstwei- lige Aussetzung des Wegweisungsvollzugs hinfällig wird, dass die mit der Beschwerdeschrift gestellten Gesuche um Gewährung der unentgeltlichen Prozessführung und der unentgeltliche Rechtsverbeistän- dung abzuweisen sind, da die hauptsächlichen Begehren – wie sich aus den angestellten Erwägungen ergibt – als aussichtslos im Sinne von Art. 65 Abs. 1 VwVG zu bezeichnen sind, dass bei diesem Ausgang des Verfahrens dessen Kosten den Beschwer- deführenden aufzuerlegen (Art. 63 Abs. 1 VwVG) und auf insgesamt Fr. 1'500.– festzusetzen sind (Art. 1–3 des Reglements vom 21. Februar 2008 über die Kosten und Entschädigungen vor dem Bundesverwaltungs- gericht [VGKE, SR 173.320.2]).</w:t>
      </w:r>
    </w:p>
    <w:p>
      <w:r>
        <w:t>(Dispositiv nächste Seite)</w:t>
      </w:r>
    </w:p>
    <w:p>
      <w:r>
        <w:t>D-352/2022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