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D-3527/2011 vom 6. November 2012</w:t>
      </w:r>
    </w:p>
    <w:p>
      <w:r>
        <w:t>Bundesverwaltungsgericht, 2012-11-06, DE</w:t>
      </w:r>
    </w:p>
    <w:p>
      <w:r>
        <w:rPr>
          <w:b/>
        </w:rPr>
        <w:t xml:space="preserve">Quelle: </w:t>
      </w:r>
      <w:r>
        <w:t>https://mcp.opencaselaw.ch/entscheid/bvger_D-3527_2011</w:t>
      </w:r>
    </w:p>
    <w:p>
      <w:r>
        <w:t>FR: TAF D-3527/2011 du 6 novembre 2012</w:t>
      </w:r>
    </w:p>
    <w:p>
      <w:r>
        <w:t>IT: TAF D-3527/2011 del 6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durch den Rechtsvertreter des Beschwerdeführers formulierte Beschwerde richtet sich gemäss den Rechtsbegehren ausschliesslich gegen den Vollzug der von der Vorinstanz verfügten Wegweisung. Die Verfügung des BFM vom 19. Mai 2011 ist,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[vormaligen] Schweizerischen Asylrekurskommission [EMARK] 2001 Nr. 21). Gegen­stand des vorliegenden Verfahrens bildet somit lediglich die Frage, ob das Bundesamt den Vollzug der Wegweisung zu Recht als zulässig, zumutbar und möglich erachtet hat oder ob an seine Stelle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nach Sri Lanka ist demnach unter dem Aspekt von Art. 5 AsylG rechtmässig.</w:t>
      </w:r>
    </w:p>
    <w:p>
      <w:r>
        <w:rPr>
          <w:b/>
        </w:rPr>
        <w:t>E. 5.3.1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brachte zwar vor, er habe in den Augen der Mitglieder der Karuna­gruppe Verrat begangen und sie deshalb an ihm oder gar seinen Kindern Rache nehmen würden (act. A12/16 S. 9 F67 f.). Während seiner 15-tägi­gen Gefangenschaft wurde er eigenen Angaben zufolge jedoch weder gefoltert noch misshandelt. Es ist folglich nicht von einer vorhandenen konkreten Gefahr auszugehen. Daran vermag auch das eingereichte Schreiben des sri-lankischen Roten Kreuzes, welches festhält, der Beschwerdeführer sei schwer gefoltert worden, nichts ändern. Für die von ihm befürchteten Behelligungen bestehen demzufolge keine substanziierten Hin­weise.</w:t>
      </w:r>
    </w:p>
    <w:p>
      <w:r>
        <w:rPr>
          <w:b/>
        </w:rPr>
        <w:t>E. 5.3.2</w:t>
      </w:r>
    </w:p>
    <w:p>
      <w:r>
        <w:t>Das Bundesverwaltungsgericht nahm im Grundsatzurteil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5.3.3</w:t>
      </w:r>
    </w:p>
    <w:p>
      <w:r>
        <w:t>Eine bei der Rückkehr nach Sri Lanka entsprechende konkrete Verfolgungsgefahr ergibt sich vorliegend jedoch nicht. Zwar ist der Beschwerdeführer gemäss seinen eigenen Angaben zur Kollaboration mit den LTTE aufgefordert worden, hat aber das Land, um einer solchen zu entgehen, vorher verlassen. Ihm kann folglich weder in Sri Lanka noch während seines mehrjährigen Aufenthalts in der Schweiz eine LTTE-Nähe beziehungsweise eine Verbindung mit den im Exil tätigen LTTE-Mit­gliedern unterstellt werden. Ausserdem waren die Probleme des Beschwerdeführers nicht politischer Natur, sondern wurzelten vielmehr in den nicht getätigten, aber versprochenen Geldzahlungen an die Karuna­gruppe (act. A12/16 S. 13 F100). Es ist aber anzunehmen, dass die finan­zielle Situation des Beschwerdeführers nicht als in diesem Sinne erheblich einzustufen ist, als dass er unter die vom Bundesverwaltungsgericht festgelegte Risikogruppe der vermögenden Geschäftsleute oder Personen mit namhaften finanziellen Mitteln fallen würde. Diese Annahme beruht auf der Tatsache, dass seine wohlhabende Familie noch immer in F._______ lebt, ohne dass der Beschwerdeführer hätte glaubhaft machen können, sie sei ernsthaft gefährdet. Zudem lebe seine Frau mit den gemeinsamen Kindern nunmehr ein normales Leben (act. A12/16 S. 10 F69).</w:t>
      </w:r>
    </w:p>
    <w:p>
      <w:r>
        <w:rPr>
          <w:b/>
        </w:rPr>
        <w:t>E. 5.3.4</w:t>
      </w:r>
    </w:p>
    <w:p>
      <w:r>
        <w:t>Auch die allgemeine Menschenrechtssituation in Sri Lanka lässt den Wegweisungsvollzug zum heutigen Zeitpunkt entgegen den wenig stich­haltigen Beschwerdevorbringen nicht als unzulässig erscheinen (vgl. dazu auch BVGE 2011/24 E. 10.4.2 S. 503 f.). Nach dem Gesagten ist der Vollzug der Wegweisung sowohl im Sinne der asyl- als auch der völkerrechtlichen Bestimmungen zulässig.</w:t>
      </w:r>
    </w:p>
    <w:p>
      <w:r>
        <w:rPr>
          <w:b/>
        </w:rPr>
        <w:t>E. 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aufgrund der Stabilisierung und Normalisierung der Situation grundsätzlich zumutbar sei (a.a.O. E. 13.1). In der Nordprovinz (Dis­trikt Jaffna und die südlichen Teile der Distrikte Vavuniya und Mannar) - mit Ausnahme des Vanni-Gebiets - sei der Alltag weitestgehend eingekehrt. Es herrsche keine Situation allgemeiner Gewalt und die dortige politische Lage sei nicht dermassen angespannt, dass eine Rückkehr dorthin als generell unzumutbar eingestuft werden müsste. Angesichts der im humanitären und wirtschaftlichen Bereich nach wie vor fragilen Lage dränge sich aber beim Wegweisungsvollzug in dieses Gebiet eine sorgfältige, zurückhaltende Beurteilung der individuellen Zumutbarkeitskriterien auf. Nebst der allgemeinen Zumutbarkeit (u.a. sozio-ökonomische und medizinische Aspekte, Kindeswohl etc.) sei dabei auch dem zeitlichen Element gebührend Rechnung zu tragen. Liege der letzte Aufenthalt der betreffenden Person in der Nordprovinz längere Zeit zurück (vor Beendigung des Bürgerkrieges im Mai 2009) oder gingen konkrete Umstände aus den Verfahrensakten hervor, dass sich die Lebensumstände seit der Ausreise massgeblich verändert haben könnten, seien die aktuell vorliegenden Lebens- und Wohnverhältnisse sorgfältig abzuklären und auf die Zumutbarkeit des Wegweisungsvollzuges hin zu überprüfen. In diesem Zusammenhang erschienen namentlich die Existenz eines tragfähigen Beziehungsnetzes und die konkreten Möglichkeiten der Sicherung des Existenzminimums und der Wohnsituation als massgebliche Faktoren. Falls solche begünstigende Faktoren in der Nordprovinz nicht vorlägen, sei die Zumutbarkeit einer innerstaatlichen Aufenthaltsalternative im übrigen Staatsgebiet, namentlich im Grossraum Colombo zu prüfen (vgl.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 13.3).</w:t>
      </w:r>
    </w:p>
    <w:p>
      <w:r>
        <w:rPr>
          <w:b/>
        </w:rPr>
        <w:t>E. 6.2</w:t>
      </w:r>
    </w:p>
    <w:p>
      <w:r>
        <w:t>Der Beschwerdeführer wurde eigenen Angaben zufolge in F._______ (Nordprovinz) geboren, wo er bis zu seiner Ausreise lebte. Die Stadt F._______ ist nicht Teil des Vanni-Gebietes (BVGE 2011/24 E. 13.2.2.1). Seine Mutter sowie einige Geschwister leben noch immer dort (act. A2/10 S. 3 Ziff. 12). Zwar machte er geltend, keinen engen Kontakt zu seiner Familie zu haben, da er gegen ihren Willen geheiratet habe, jedoch lebten seine Frau und die gemeinsamen Kinder in G._______ (Ostprovinz). Es ist daher von einem tragfähigen sozialen und familiären Beziehungsnetz im Heimatstaat auszugehen, zumal der Beschwerdeführer mit seiner Ehefrau und den Kindern auch während seines Aufenthalts in der Schweiz regelmässig Kontakt hat (act. A12/16 S. 4 F21). Der soweit aktenkundig gesunde Beschwerdeführer verfügt über eine abgeschlossene Schulbildung sowie über Arbeitserfahrung als K._______ (act. A2/10 S. 2 Ziff. 8). Bei einer Rückkehr nach Sri Lanka bekommt er eigenen Angaben zufolge die J._______ sowie sein Haus zurück (act. A12/16 S. 10 F73). Folglich besteht eine Grundlage zur Wiederaufnahme der Tätigkeit als K._______ und zum Aufbau einer wirtschaftlichen Existenz sowie eine gesicherte Wohnsituation. Aus den Akten ergeben sich ferner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ausgereist ist. Weder die allgemeine Lage vor Ort noch individuelle Gründe lassen auf eine konkrete Gefährdung im Falle einer Rückkehr schliessen, weshalb der Vollzug der Wegweisung vorliegend insgesamt als zumutbar zu erachten ist.</w:t>
      </w:r>
    </w:p>
    <w:p>
      <w:r>
        <w:rPr>
          <w:b/>
        </w:rPr>
        <w:t>E. 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Der Beschwerdeführer stellte im Rahmen der Beschwerdebegehren ein Gesuch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Gewährung der unentgeltlichen Rechtspflege mit Blick auf die Erfolgsaussichten an der nötigen Ernsthaftigkeit gefehlt (vgl. BGE 125 II 265 E. 4b S. 275). Aus der Beschwerde ergibt sich, dass der Beschwerdeführer erwerbstätig ist (vgl. Formelle Begründung, Bst. c). Die prozessuale Bedürftigkeit ist vorliegend zu verneinen, zumal auch keine Fürsorgebestätigung eingereicht wurde, welche auf das Gegenteil schliessen lassen würde. Das Gesuch um unentgeltliche Rechtspflege im Sinne von Art. 65 Abs. 1 VwVG ist demnach abzuweisen. Dem Beschwerdeführer sind die Kosten des Verfahrens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