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D-3526/2011 vom 20. September 2011</w:t>
      </w:r>
    </w:p>
    <w:p>
      <w:r>
        <w:t>Bundesverwaltungsgericht, 2011-09-20, DE</w:t>
      </w:r>
    </w:p>
    <w:p>
      <w:r>
        <w:rPr>
          <w:b/>
        </w:rPr>
        <w:t xml:space="preserve">Quelle: </w:t>
      </w:r>
      <w:r>
        <w:t>https://mcp.opencaselaw.ch/entscheid/bvger_D-3526_2011</w:t>
      </w:r>
    </w:p>
    <w:p>
      <w:r>
        <w:t>FR: TAF D-3526/2011 du 20 septembre 2011</w:t>
      </w:r>
    </w:p>
    <w:p>
      <w:r>
        <w:t>IT: TAF D-3526/2011 del 20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22. Juni 2011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nachvollziehbaren Erwägungen des BFM nicht umzustossen. Der Beschwerdeführer verweist zwar auf den in der Schweizer Asylpraxis mit EMARK 2006 Nr. 18 erfolgten Wechsel von der Zurechenbarkeits- zur Schutztheorie, doch vermag er daraus nichts zu seinen Gunsten abzuleiten. So wird im zitierten Entscheid ausdrücklich festgehalten, dass der Schutz vor nichtstaatlicher Verfolgung im Heimatstaat dann als ausreichend zu qualifizieren sei, wenn die betroffene Person effektiv Zugang zu einer funktionierenden und effizienten Schutz-Infrastruktur habe und ihr die Inanspruchnahme eines solchen innerstaatlichen Schutzsystems individuell zumutbar sei (vgl. EMARK 2006 Nr. 18 E.10.3). Im vorliegenden Fall hat der Beschwerdeführer nicht geltend gemacht, sich bei den Polizeibehörden vergeblich um Schutz vor seinem Onkel bemüht zu haben. Vielmehr hat er seinen eigenen Aussagen zufolge aus Angst vor dessen Reaktion darauf verzichtet, bei der Polizei eine Anzeige zu erstatten (vgl. A18/15 S. 7 F. 57). Er habe seinen Onkel im Jahre 2008 schon einmal anzeigen wollen, als der Onkel jedoch davon erfahren habe, sei er noch strenger geworden (vgl. A18/15 S. 6 F. 52 und F. 54). Mangels objektiv und subjektiv zumutbarer Inanspruchnahme des irakischen Schutzsystems kann dem irakischen Staat weder ein fehlender Schutzwille noch eine fehlende Schutzfähigkeit vorgeworfen werden. Im Übrigen besteht für das Bundesverwaltungsgericht nach Überprüfung der Akten keine Veranlassung, die Erwägungen des Bundesamtes zu beanstanden. Um Wiederholungen zu vermeiden, kann daher auf die zutreffenden Erwägungen in der angefochtenen Verfügung verwiesen werden.</w:t>
      </w:r>
    </w:p>
    <w:p>
      <w:r>
        <w:rPr>
          <w:b/>
        </w:rPr>
        <w:t>E. 5.2</w:t>
      </w:r>
    </w:p>
    <w:p>
      <w:r>
        <w:t>Bei dieser Sachlage erübrigt es sich, auf die weiteren Ausführungen in der Beschwerde im Einzelnen einzugehen, da diese nicht geeignet sind, zu einer anderen rechtlichen Würdigung der Aktenlage zu führen. Unter diesen Umständen ist somit festzuhalten, dass der Beschwerdeführer einen flüchtlingsrechtliche bedeutsamen Sachverhalt weder nachgewiesen noch glaubhaft gemacht hat. Die Feststellung des BFM, der Beschwerdeführer erfülle die Flüchtlingseigenschaft gemäss Art. 3 AsylG nicht, ist dementsprechend zu bestätigen. Das BFM hat das Asylgesuch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Bundesgesetzt über die Ausländerinnen und Ausländer vom 8. März 2002, BBl 2002 3818). Im hier interessierenden Zusammenhang hat das Bundesverwaltungsgericht mit seinem Urteil BVGE 2008/5 eine Einschätzung der Sicherheitslage in den drei autonomen kurdischen Nordprovinzen Dohuk, Erbil und Suleimaniya vorgenommen, die auch heute weiterhin Gültigkeit beanspruchen kann. Es wurde festgestellt, dass in den drei kurdischen Provinzen keine Situation allgemeiner Gewalt herrscht, und die dortige politische Lage nicht dermassen angespannt ist, als dass eine Rückführung dorthin als generell unzumutbar betrachtet werden müsste beziehungsweise Anlass zur Annahme einer konkreten Gefährdung bestehe. Die Anordnung des Wegweisungsvollzuges setzt jedoch voraus, dass die betreffende Person entweder ursprünglich aus der Region stammt oder eine längere Zeit dort gelebt hat und über ein soziales Netz (Familie, Verwandtschaft oder Bekanntenkreis) oder über Beziehungen zu den herrschenden Parteien verfügt (vgl. BVGE 2008/5 E.75; insbesondere E. 7.5.8). Andernfalls dürfte eine soziale und wirtschaftliche Integration in die kurdische Gesellschaft nicht gelingen, da der Erhalt einer Arbeitsstelle oder von Wohnraum weitgehend von gesellschaftlichen und politischen Beziehungen abhängt. Die Anordnung des Wegweisungsvollzugs ist in der Regel für alleinstehende, gesunde und junge kurdische Männer, die ursprünglich aus der Region stammen, zumutbar.</w:t>
      </w:r>
    </w:p>
    <w:p>
      <w:r>
        <w:rPr>
          <w:b/>
        </w:rPr>
        <w:t>E. 7.5</w:t>
      </w:r>
    </w:p>
    <w:p>
      <w:r>
        <w:t>Die Sicherheitslage im Nordirak hat sich seit der Publikation des erwähnten Urteils nicht verschlechtert. In der überwiegenden Mehrheit der Berichte von Regierungs- und Nichtregierungsorganisationen sowie des UN-Sicherheitsrats wird eine insgesamt stabile Situation beschrieben (vgl. dazu UK Home Office, Country of Origin Information Report vom 25. März 2011 über die Kurdistan Regional Government Area of Iraq).</w:t>
      </w:r>
    </w:p>
    <w:p>
      <w:r>
        <w:rPr>
          <w:b/>
        </w:rPr>
        <w:t>E. 7.6</w:t>
      </w:r>
    </w:p>
    <w:p>
      <w:r>
        <w:t>Der gemäss den Akten nunmehr fast 22-jährige Beschwerdeführer ist ein ethnischer Kurde, der seine prägenden Kinder- und Jugendjahre bis im Jahr 2007 in der Stadt E._______ verbracht, und anschliessend bis zu seiner Ausreise im November 2008 in C._______ (Provinz Dohuk). Sodann leben seinen Aussagen zufolge seinen nahen Verwandten (neben dem bereits erwähnten Onkel, ein Onkel mütterlicherseits, eine Tante väterlicherseits, seine Mutter sowie seine Schwester) in C._______, weshalb der Beschwerdeführer dort auch über ein familiäres Beziehungsnetz verfügt (vgl. A18/15 S. 3 f. F.23 f.). Da er über berufliche Erfahrung als Transporteur wie auch über verwandtschaftliche Unterstützung verfügt, hat er keinerlei Veranlassung, mit einer existenzbedrohenden Situation zu rechnen. Gestützt auf die vorstehenden Erwägungen ist der Vollzug der Wegweisung sowohl vor dem Hintergrund der allgemeinen Lage im Nordirak als auch in individueller Hinsicht als zumutbar zu erachten.</w:t>
      </w:r>
    </w:p>
    <w:p>
      <w:r>
        <w:rPr>
          <w:b/>
        </w:rPr>
        <w:t>E. 7.7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21. Juli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