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D-3523/2016 vom 27. Juni 2016</w:t>
      </w:r>
    </w:p>
    <w:p>
      <w:r>
        <w:t>Bundesverwaltungsgericht, 2016-06-27, DE</w:t>
      </w:r>
    </w:p>
    <w:p>
      <w:r>
        <w:rPr>
          <w:b/>
        </w:rPr>
        <w:t xml:space="preserve">Quelle: </w:t>
      </w:r>
      <w:r>
        <w:t>https://mcp.opencaselaw.ch/entscheid/bvger_D-3523_2016</w:t>
      </w:r>
    </w:p>
    <w:p>
      <w:r>
        <w:t>FR: TAF D-3523/2016 du 27 juin 2016</w:t>
      </w:r>
    </w:p>
    <w:p>
      <w:r>
        <w:t>IT: TAF D-3523/2016 del 27 giugno 2016</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Die Beschwerdeführenden sind als Verfügungsadressaten zur Beschwerdeführung legitimiert (Art. 48 Abs. 1 VwVG). Auf die frist- und formgerecht eingereichte Beschwerde (Art. 108 Abs. 2 AsylG und Art. 52 Abs. 1 VwVG) ist einzutreten.</w:t>
      </w:r>
    </w:p>
    <w:p>
      <w:r>
        <w:rPr>
          <w:b/>
        </w:rPr>
        <w:t>E. 1.2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Beschwerdeschrift machen die Beschwerdeführenden im Wesentlichen geltend, sie seien entgegen der vorinstanzlichen Verfügung doch Flüchtlinge und die Vorinstanz habe ihre Asylvorbringen lediglich falsch beurteilt. Der Beschwerdeführer habe mittlerweile den Eindruck, er werde von der Geheimpolizei verfolgt. In Anbetracht dieser Bedrohung habe der Vater des Beschwerdeführers einen Reiseagenten kontaktiert und diesem viel Geld bezahlt, um dem Beschwerdeführer die Ausreise nach Singapur zu ermöglichen, wo es keine Visumspflicht gebe. In der Folge sei er umgehend abgereist. Im Übrigen seien in den Vorbringen des Beschwerdeführers keine Punkte auszumachen, die unglaubhaft wären oder der allgemeinen Erfahrung oder der Logik des Handelns widersprächen.</w:t>
      </w:r>
    </w:p>
    <w:p>
      <w:r>
        <w:rPr>
          <w:b/>
        </w:rPr>
        <w:t>E. 4.2</w:t>
      </w:r>
    </w:p>
    <w:p>
      <w:r>
        <w:t>Die Vorbringen in der Beschwerdeschrift vermögen nicht zu einer veränderten Betrachtungsweise zu führen, zumal sie sich in Behauptungen zum Sachverhalt erschöpfen und mangels Auseinandersetzung mit der vorinstanzlichen Argumentation nicht geeignet sind, die Erwägungen in der angefochtenen Verfügung als unzutreffend erscheinen zu lassen. Dies umso weniger, als die Verfolgungsvorbringen des Beschwerdeführers durch den von ihm eingereichten Reisepass indirekt widerlegt werden. Wie sich nämlich aus den Stempeln im Reisepass des Beschwerdeführers ergibt, reiste er in der Zeit zwischen September 2010 und Mai 2016 mehrmals mit seinem sri-lankischen Original-Reisepass über den Flughafen von Colombo ein und aus (A18/44 S. 25). Zwar postuliert der Beschwerdeführer, dies sei ihm oder einer einflussreichen Drittperson jeweils mittels Bestechung (A18/44 Ziff. 7.01 S. 14, A23/21 F19 S. 6) gelungen, ihm persönlich beispielsweise bei der Ausreise am 5. Mai 2016. Damals habe er das Problem bereinigt durch Zahlung einer Summe von 200'000 Rupien an einen Immigration Officer. Indessen ist es nicht ganz so einfach, den Kontrollen an einem Flughafen zu entgehen, wie es sich der Beschwerdeführer vorstellt, zumal sich aufgrund von Passagierlisten ganz verschiedene staatliche Institutionen (Polizei, Geheimdienst, Grenzkontrolle) für die Identität von Ausreisenden interessieren. Bei dieser Sachlage erwiese sich die Bestechung eines Immigration Officers weder für die ausreisewillige Person noch für den bestechlichen Staatsdiener als erfolgversprechendes Unterfangen, weshalb die Tatsache, dass der Beschwerdeführer mit seinem echten sri-lankischen Reisepass in den Heimatstaat ein- und ausgereist ist, den Schluss nahelegt, die Behörden des Heimatstaats haben in Wirklichkeit kein Interesse an einer wie auch immer gearteten Verfolgung des Beschwerdeführers. Im Rahmen einer antizipierten Beweiswürdigung erübrigt es sich in diesem Zusammenhang, den Eingang weiterer Beweismittel abzuwarten, die das Gegenteil dokumentieren sollen, zumal nicht davon auszugehen ist, solche Dokumente könnten zu einer veränderten Betrachtungsweise führen. Im Übrigen kann zur Vermeidung von Wiederholungen auf die ebenso einlässlichen wie zutreffenden Erwägungen in der angefochtenen Verfügung verwiesen werden. Die Vorinstanz hat demnach die Flüchtlingseigenschaft zu Recht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Der Vollzug der Wegweisung ist vorliegend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Weder die allgemeine Lage in ihrem Heimatstaat noch individuelle Gründe lassen den Wegweisungsvollzug vorliegend unzumutbar erscheinen. Wie die Vorinstanz zutreffend ausgeführt hat, erfüllt der Beschwerdeführer als junger, gemäss Akten gesunder und arbeitsfähiger Mann mit Berufserfahrung in der Tourismusbranche, letztem Aufenthalt in N._______, einer mittelgrossen Stadt im zentralen Gebirge von Sri Lanka, wo er eine Unterkunft wie auch ein tragfähiges familiäres Beziehungsnetz vorfindet (A18/44 Ziff. 3.01 S. 10/1), die Voraussetzungen für einen zumutbaren Wegweisungsvollzug. Bezüglich der Beschwerdeführerin, die mittlerweile nicht mehr davon ausgeht, sie befinde sich in den Flitterwochen (A18/16 Ziff. 7.02 S. 16, A12/21 Ziff. 7.02 S. 12) kann auf die Erwägungen in der angefochtenen Verfügung verwiesen werden. Nach dem Gesagten erweist sich der Vollzug der Wegweisung auch als zumutbar.</w:t>
      </w:r>
    </w:p>
    <w:p>
      <w:r>
        <w:rPr>
          <w:b/>
        </w:rPr>
        <w:t>E. 6.5</w:t>
      </w:r>
    </w:p>
    <w:p>
      <w:r>
        <w:t>Die Beschwerdeführenden verfügen bereits über die für eine Rückkehr notwendigen Reisedokumente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