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D-3520/2025 vom 14. April 2025</w:t>
      </w:r>
    </w:p>
    <w:p>
      <w:r>
        <w:t>Bundesverwaltungsgericht, 2025-04-14, DE</w:t>
      </w:r>
    </w:p>
    <w:p>
      <w:r>
        <w:rPr>
          <w:b/>
        </w:rPr>
        <w:t xml:space="preserve">Quelle: </w:t>
      </w:r>
      <w:r>
        <w:t>https://mcp.opencaselaw.ch/entscheid/bvger_D-3520_2025_d20250414</w:t>
      </w:r>
    </w:p>
    <w:p>
      <w:r>
        <w:t>FR: TAF D-3520/2025 du 14 avril 2025</w:t>
      </w:r>
    </w:p>
    <w:p>
      <w:r>
        <w:t>IT: TAF D-3520/2025 del 14 aprile 2025</w:t>
      </w:r>
    </w:p>
    <w:p>
      <w:pPr>
        <w:pStyle w:val="Heading2"/>
      </w:pPr>
      <w:r>
        <w:t>Regeste</w:t>
      </w:r>
    </w:p>
    <w:p>
      <w:r>
        <w:t>Asyl und Wegweisung | Asyl und Wegweisung; Verfügung des SEM vom 14. April 2025</w:t>
      </w:r>
    </w:p>
    <w:p>
      <w:pPr>
        <w:pStyle w:val="Heading2"/>
      </w:pPr>
      <w:r>
        <w:t>Erwägungen</w:t>
      </w:r>
    </w:p>
    <w:p>
      <w:r>
        <w:rPr>
          <w:b/>
        </w:rPr>
        <w:t>E. 1.1</w:t>
      </w:r>
    </w:p>
    <w:p>
      <w:r>
        <w:t>Gemäss Art. 31 VGG (SR 173.32) beurteilt das Bundesverwaltungsge- richt Beschwerden gegen Verfügungen nach Art. 5 VwVG (SR 172.021). Das SEM gehört zu den Behörden nach Art. 33 VGG und ist daher eine Vorinstanz des Bundesverwaltungsgerichts. Eine das Sachgebiet betref- fende Ausnahme im Sinne von Art. 32 VGG liegt nicht vor. Das Bundesver- 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[SR 173.110]). Eine solche Ausnahme im Sinne von Art. 83 Bst. d Ziff. 1 BGG liegt nicht vor, weshalb das Bundesverwal- 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So- dann ging der verlangte Kostenvorschuss am 13. Juni 2025 fristgerecht bei der Gerichtskasse ein. Auf die Beschwerde ist somit einzutreten.</w:t>
      </w:r>
    </w:p>
    <w:p>
      <w:r>
        <w:t>D-3520/2025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 hend aufgezeigt, handelt es sich um eine solche, weshalb das Urteil nur summarisch zu begründen ist (Art. 111a Abs. 2 AsylG). Gestützt auf Art. 111a Abs. 1 AsylG wurde auf die Durchführung eines Schriftenwech- 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Für die Beurteilung der Flüchtlingseigenschaft ist der Zeitpunkt bei der Ausreise vorhandenen Verfolgung oder der begründeten Furcht vor einer solchen massgebend. Die Situation im Zeitpunkt des Asylentscheids ist je- doch im Rahmen der Prüfung nach der Aktualität der Verfolgungsfurcht ebenfalls wesentlich. Veränderungen der objektiven Situation im Heimat- staat zwischen Ausreise und Asylentscheid sind deshalb zugunsten und zulasten der das Asylgesuch stellenden Person zu berücksichtigen (vgl. zum Ganzen BVGE 2011/51 E. 6, 2011/50 E. 3.1.1 und 3.1.2, 2010/57 E. 2, 2008/34 E. 7.1, 2008/12 E. 5.2 und 2008/4 E. 5.2, jeweils m.w.H.; WALTER STÖCKLI, Asyl, in: Uebersax/Rudin/Hugi Yar/Geiser [Hrsg.], Ausländer- recht, 2. Aufl., 2009, Rz. 11.17 und 11.18).</w:t>
      </w:r>
    </w:p>
    <w:p>
      <w:r>
        <w:rPr>
          <w:b/>
        </w:rPr>
        <w:t>E. 4.3</w:t>
      </w:r>
    </w:p>
    <w:p>
      <w:r>
        <w:t>Eine Verfolgung durch nicht-staatliche Akteure kann dann flüchtlings- rechtlich relevant sein, wenn es der betroffenen Person nicht möglich ist, im Heimatstaat adäquaten Schutz zu finden. Die Flüchtlingseigenschaft setzt jedoch voraus, dass der geltend gemachten Verfolgung oder der</w:t>
      </w:r>
    </w:p>
    <w:p>
      <w:r>
        <w:t>D-3520/2025 Seite 7 staatlichen Schutzverweigerung ein flüchtlingsrechtlich relevantes Motiv gemäss Art. 3 Abs. 1 AsylG zugrunde liegt. Nach der sogenannten Schutz- theorie (vgl. hierzu EMARK 2006 Nr. 18) ist nicht-staatliche Verfolgung flüchtlingsrechtlich nur dann relevant, wenn der Staat unfähig oder nicht willens ist, Schutz vor einer solchen Verfolgung zu bieten. Eine Garantie für langfristigen individuellen Schutz und die stetige absolute Sicherheit der bedrohten Person kann dabei nicht verlangt werden. Der Staat muss je- doch eine funktionierende und effiziente Schutzinfrastruktur zur Verfügung stellen und diese hat der betroffenen Person objektiv zugänglich sowie in- dividuell zumutbar zu sein, was jeweils im Rahmen einer Einzelfallprüfung unter Berücksichtigung des länderspezifischen Kontextes zu beurteilen ist (vgl. BVGE 2011/51 E. 7.3 f. m.w.H. und Urteil des BVGer E-4446/2018 vom 23. Januar 2018 E. 6.2.1).</w:t>
      </w:r>
    </w:p>
    <w:p>
      <w:r>
        <w:rPr>
          <w:b/>
        </w:rPr>
        <w:t>E. 4.4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bezüglich der Vorbringen der Beschwerdeführerin zu ihrer fast siebzehnjährigen Tätigkeit bei der PKK im Nordirak mit fehlender Aktualität der Verfolgung. Es drohten ihr gegenwärtig keine Konsequenzen aufgrund des Strafverfahrens, wel- ches 2012 mit einem Freispruch geendet habe und in Rechtskraft erwach- sen sei. Die erlebten Nachteile seien zudem nicht hinreichend intensiv im Sinne des Asylgesetzes und sie habe sich mehr als zehn Jahre in der Tür- kei aufhalten können, ohne Konsequenzen in diesem Zusammenhang aus- gesetzt gewesen zu sein. Ausserdem seien gemäss ihrem eingereichten UYAP-Auszug aktuell keine weiteren Strafverfahren gegen sie hängig. Die erwähnten Hausdurchsuchungen und die Aufforderung zur Spitzeltätigkeit sowie die Schikanen anlässlich von Kontrollen stellten ebenfalls keine ernsthaften Nachteile im Sinne des Asylrechts dar, die einen Verbleib in der Türkei verunmöglichen oder unzumutbar machen würden. Solche Schika- nen würden in ihrer Intensität nicht über die Nachteile hinausgehen, wel- chen die kurdische Bevölkerung in der Türkei in ähnlicher Weise ausge- setzt sein könne. Bei den vorgebrachten Problemen mit ihren beiden Ex- männern handle es sich um Übergriffe respektive Probleme mit Dritten.</w:t>
      </w:r>
    </w:p>
    <w:p>
      <w:r>
        <w:t>D-3520/2025 Seite 8 Gemäss Rechtsprechung sei von der Schutzfähigkeit und Schutzwilligkeit sowie Zugänglichkeit der türkischen Behörden – auch bei Übergriffen ge- genüber Frauen und im familiären Kontext – auszugehen. In ihrem Fall sei der Zugang zu staatlichem Schutz möglich gewesen, indem sie Anzeigen bei der Polizei, bei der Direktion und der Beobachtungsstelle für Gewalt- prävention habe erstatten können. Es sei staatsanwaltlich ermittelt und der Exmann angeklagt worden. Es sei zu sechs familienrechtlichen Verfahren und einem Schutzentscheid gekommen. Auch wenn der erste Exmann im Entführungsverfahren zweitinstanzlich freigesprochen worden sei, bedeute dies nicht, dass das heimatliches Rechtssystem dysfunktional oder man- gelhaft sei. Bei allfälligen weiteren Verfahren stünde ihr die Inanspruch- nahme weiterer Rechtmittel offen. Auch liege die Scheidung vom ersten Ehemann bereits über zehn Jahre zurück und aktuell gehe keine konkrete Bedrohung von ihm aus. Zudem lebe er rund 750 Kilometer entfernt vom letzten Wohnort der Beschwerdeführenden. Es bestehe auch seitens ihres zweiten Ehemannes keine Gefahr für sei, da dieser eine langjährige Haft- strafe absitze. Ferner stehe ihr eine innerstaatliche Schutzalternative offen.</w:t>
      </w:r>
    </w:p>
    <w:p>
      <w:r>
        <w:rPr>
          <w:b/>
        </w:rPr>
        <w:t>E. 5.2</w:t>
      </w:r>
    </w:p>
    <w:p>
      <w:r>
        <w:t>Die Beschwerdeführerin entgegnete in der Beschwerde, dass ihr erster Ehemann sie wiederholt bedroht und belästigt habe. Nachdem er 2018 zu- erst wegen Kindesentführung verurteilt, anlässlich des Berufungsverfah- rens jedoch freigesprochen worden sei, bestehe nach wie vor die Gefahr einer Entführung des zweiten gemeinsamen Kindes oder der Gewaltan- wendung ihm gegenüber. Trotz staatlicher Schutzmassnahmen bestehe die Möglichkeit erneuter verbaler und psychischer Misshandlungen. Der Umstand, dass er in einer weit entfernten Stadt lebe, ändere an der beste- henden Bedrohungslage nichts. Nach der Trennung von ihrem zweiten Ehemann habe sie das gemeinsame Kind einer Pflegefamilie in der Türkei übergeben müssen, da sie selber keinen hinreichenden Schutz bieten könne und die bereits von ihr ergriffenen Massnahmen insgesamt wir- kungslos geblieben seien. Trotz Inhaftierung bestünden die psychische Be- lastung und Drohung des Exmannes ihr und ihren Kindern gegenüber. Die Argumentation der Vorinstanz im Zusammenhang mit effektivem Schutz in der Türkei bei häuslicher Gewalt und Femiziden sei unzutreffend und in der Realität bestehe trotz staatlicher Anstrengung kein hinreichender Schutz. Vielmehr hätten Gewalt gegenüber Frauen und Kindern sowie Femizide und sexueller Missbrauch zugenommen. Auf Polizeiwachen seien die be- troffenen Frauen mit grossen Vorurteilen konfrontiert und oft werde ihnen vor Anzeigen abgeraten; trotz Schutzsuche in Frauenhäusern käme es im- mer wieder zu Übergriffen und Tötungen durch männliche Familienmitglie- der. Femizide hätten sich in den letzten vier Jahren sogar verdoppelt. Die</w:t>
      </w:r>
    </w:p>
    <w:p>
      <w:r>
        <w:t>D-3520/2025 Seite 9 Beschwerdeführerin stützte ihre Argumentation auf verschiedene Quellen aus dem Internet und verwies auf die internationale Rechtsprechung. Aus- serdem sei die Türkei aus der sogenannten Istanbul-Konvention ausgetre- ten. In der Realität sei der türkische Staat weder schutzwillig noch schutz- fähig. Es treffe nicht zu, dass sie und ihre Kinder unter diesen Umständen in der Türkei weiterleben könnten, wenn so viele Frauen trotz Schutzmas- snahmen in der Türkei von ihren Ehemännern oder Exehemännern ermor- det würden.</w:t>
      </w:r>
    </w:p>
    <w:p>
      <w:r>
        <w:rPr>
          <w:b/>
        </w:rPr>
        <w:t>E. 6.1</w:t>
      </w:r>
    </w:p>
    <w:p>
      <w:r>
        <w:t>Das Gericht kommt in Übereinstimmung mit der Vorinstanz zum Schluss, dass die Vorbringen der Beschwerdeführerin im Zusammenhang mit ihrer vormaligen Zeit bei der PKK asylrechtlich nicht relevant sind. Hierzu ist vollumfänglich auf die vorinstanzliche Verfügung vom 14. April 2025 zu verweisen, in welcher überzeugend dargelegt wurde, weshalb die geltend gemachten Fluchtgründe den Anforderungen an Art. 3 AsylG nicht genügen (vgl. SEM-Akte A45/15). In der Beschwerde wurde dieser Punkt denn auch nicht bestritten. Die vorgebrachten Probleme mit ihren beiden Ex-Ehemännern, die ihr gegenüber ausgesprochenen Todesdrohungen und die Furcht vor einer weiteren Kindesentführung stellen Verfolgungen durch nicht-staatliche Akteure respektive Drittpersonen dar und sind flüchtlingsrechtlich ebenfalls nicht relevant. Das Bundesverwaltungs- gericht hat in gefestigter Praxis die grundsätzliche Schutzbereitschaft und Schutzfähigkeit des türkischen Staates im Umgang mit Opfern häuslicher Gewalt bejaht und geht davon aus, dass insbesondere in den städtischen Gebieten die Infrastruktur des Opferschutzes als hinreichend zu erachten ist. Ohne die erlittene häusliche Gewalt verharmlosen zu wollen, ist dennoch festzustellen, dass sich die türkischen Behörden gegenüber der Beschwerdeführerin bereits als schutzwillig gezeigt haben, indem sie ihre gegenüber einen Schutzentscheid getroffen sowie sechs zivilrechtliche Verfahren durchgeführt haben und ihr erster Exmann nach einer Anzeige strafrechtlich verurteilt wurde. Auch wenn er der Kindesentführung zweitinstanzlich freigesprochen wurde, deuten die zahlreich Anhand genommenen Verfahren auf die Schutzwilligkeit der türkischen Behörden in diesem Zusammenhang hin. Wie die Vorinstanz sodann darauf hingewiesen hat, erscheint es wenig wahrscheinlich, dass der rund 900 Kilometer entfernt lebende erste Ex-Ehemann aus D._______ die Beschwerdeführenden tatsächlich physisch in E._______ bedrohe könnte. Dasselbe trifft noch vielmehr auf den zweiten Ehemann zu, der eine bis ins Jahr 2037 dauernde Haftstrafe zu verbüssen hat, weshalb nicht von den von ihr geltend gemachten «gefährlichen Bedingungen» bei einer</w:t>
      </w:r>
    </w:p>
    <w:p>
      <w:r>
        <w:t>D-3520/2025 Seite 10 Rückkehr auszugehen ist. Angesichts der in der Türkei herrschenden Niederlassungsfreiheit besteht ausserdem die Option, sich dauerhaft an einem Ort freier Wahl niederzulassen.</w:t>
      </w:r>
    </w:p>
    <w:p>
      <w:r>
        <w:rPr>
          <w:b/>
        </w:rPr>
        <w:t>E. 6.2</w:t>
      </w:r>
    </w:p>
    <w:p>
      <w:r>
        <w:t>Schliesslich stellen auch die geforderte Spitzeltätigkeit, die Schikanen anlässlich von Kontrollen, die verbalen Bedrohungen und die geltend gemachten Hausdurchsuchungen durch die heimatlichen Behörden keine hinreichende Intensität im Sinne des Asylgesetzes dar. Sie gehen nicht über die Nachteile hinaus, welchen ein Grossteil der kurdischen Bevölkerung in der Türkei ausgesetzt sein kann und führen nicht zur Flüchtlingseigenschaft, zumal praxisgemäss hohe Anforderungen für die Annahme einer Kollektivverfolgung gestellt werden (vgl. BVGE 2014/32 E. 6.1; 2013/12 E. 6), die im Falle der Kurden in der Türkei – auch unter Berücksichtigung der politischen Entwicklungen – nicht als erfüllt zu erachten sind (vgl. statt vieler etwa die Urteile des BVGer D-5611/2024 vom 26. November 2024 E. 5.2.3; E-1255/2021 vom 25. April 2023 E. 5.1; E-90/2023 vom 14. März 2023 E. 7.4 m.w.H.).</w:t>
      </w:r>
    </w:p>
    <w:p>
      <w:r>
        <w:rPr>
          <w:b/>
        </w:rPr>
        <w:t>E. 6.3</w:t>
      </w:r>
    </w:p>
    <w:p>
      <w:r>
        <w:t>Nach dem Gesagten ist festzustellen, dass die Beschwerdeführenden die Flüchtlingseigenschaft nicht erfüllen. Die Vorinstanz hat ihre Asylgesu- che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 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Beim Geltendmachen von Wegweisungsvollzugshindernissen gilt ge- mäss Praxis des Bundesverwaltungsgerichts der gleiche Beweisstandard</w:t>
      </w:r>
    </w:p>
    <w:p>
      <w:r>
        <w:t>D-3520/2025 Seite 11 wie bei der Prüfung der Flüchtlingseigenschaft; das heisst, sie sind zu be- weisen, wenn der strikte Beweis möglich ist, und andernfalls wenigstens glaubhaft zu machen (vgl. BVGE 2011/24 E. 10.2 m.w.H.).</w:t>
      </w:r>
    </w:p>
    <w:p>
      <w:r>
        <w:rPr>
          <w:b/>
        </w:rPr>
        <w:t>E. 8.3.1</w:t>
      </w:r>
    </w:p>
    <w:p>
      <w:r>
        <w:t>Der Vollzug ist nicht zulässig, wenn völkerrechtliche Verpflichtungen der Schweiz einer Weiterreise der Ausländerin oder des Ausländers in den Heimat-, Herkunfts- oder einen Drittstaat entgegenstehen (Art. 83 Abs. 3 AIG).</w:t>
      </w:r>
    </w:p>
    <w:p>
      <w:r>
        <w:rPr>
          <w:b/>
        </w:rPr>
        <w:t>E. 8.3.2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8.3.3</w:t>
      </w:r>
    </w:p>
    <w:p>
      <w:r>
        <w:t>Gemäss Art. 25 Abs. 3 BV (SR 101), Art. 3 des Übereinkommens vom</w:t>
      </w:r>
    </w:p>
    <w:p>
      <w:r>
        <w:rPr>
          <w:b/>
        </w:rPr>
        <w:t>E. 8.3.4</w:t>
      </w:r>
    </w:p>
    <w:p>
      <w:r>
        <w:t>Die Vorinstanz wies in ihrer angefochtenen Verfügung zutreffend da- rauf hin, dass das Prinzip des flüchtlingsrechtlichen Non-Refoulement nur Personen schützt, die die Flüchtlingseigenschaft erfüllen. Da es den Be- schwerdeführenden nicht gelungen ist, eine asylrechtlich erhebliche Ge- fährdung nachzuweisen oder glaubhaft zu machen, kann der in Art. 5 AsylG verankerte Grundsatz der Nichtrückschiebung im vorliegenden Verfahren keine Anwendung finden. Eine Rückkehr der Beschwerdeführenden in ih- ren Heimatstaat Türkei ist demnach auch unter dem Aspekt von Art. 5 AsylG rechtmässig.</w:t>
      </w:r>
    </w:p>
    <w:p>
      <w:r>
        <w:rPr>
          <w:b/>
        </w:rPr>
        <w:t>E. 8.3.5</w:t>
      </w:r>
    </w:p>
    <w:p>
      <w:r>
        <w:t>Sodann ergeben sich weder aus den Aussagen der Beschwerdefüh- renden noch aus den Akten Anhaltspunkte dafür, dass sie für den Fall einer Ausschaffung in die Türkei dort mit beachtlicher Wahrscheinlichkeit einer nach Art. 3 EMRK oder Art. 1 FoK verbotenen Strafe oder Behandlung aus- gesetzt wären. Gemäss Praxis des Europäischen Gerichtshofes für Men- schenrechte (EGMR) sowie jener des UN-Anti-Folterausschusses müssten</w:t>
      </w:r>
    </w:p>
    <w:p>
      <w:r>
        <w:t>D-3520/2025 Seite 12 die Beschwerdeführenden eine konkrete Gefahr im Sinne eines «real risk» nachweisen oder glaubhaft machen, dass ihnen im Fall einer Rückschie- bung Folter oder unmenschliche Behandlung drohen würde (vgl. Urteil des EGMR Saadi gegen Italien 28. Februar 2008, Grosse Kammer, 37201/06, §§ 124–127 m.w.H.). Dies ist ihnen jedoch nicht gelungen. Auch die allge- meine Menschenrechtssituation in der Türkei lässt den Wegweisungsvoll- zug zum heutigen Zeitpunkt nicht als unzulässig erscheinen.</w:t>
      </w:r>
    </w:p>
    <w:p>
      <w:r>
        <w:rPr>
          <w:b/>
        </w:rPr>
        <w:t>E. 8.3.6</w:t>
      </w:r>
    </w:p>
    <w:p>
      <w:r>
        <w:t>Nach dem Gesagten ist der Vollzug der Wegweisung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Auch unter Berücksichtigung des Wiederaufflammens des türkisch- kurdischen Konfliktes sowie der bewaffneten Auseinandersetzungen zwi- schen der PKK und staatlichen Sicherheitskräften seit Juli 2015 in den Pro- vinzen Batman, Diyarbakir, Mardin, Siirt, Urfa und Van sowie auch in den Provinzen Hakkari und Sirnak (zu den Letzteren vgl. das Referenzurteil des BVGer E-4103/2024 vom 8. November 2024 E: 13.4.8) und der Entwick- lungen nach dem Militärputschversuch im Juli 2016 ist gemäss konstanter Praxis nicht von einer Situation allgemeiner Gewalt oder bürgerkriegsähn- lichen Verhältnissen in der Türkei – auch nicht für Angehörige der kurdi- schen Ethnie – auszugehen (vgl. vgl. statt vieler Urteil des BVGer E-3909/2025 vom 20. Juni 2025 E. 11.3.2). Diese Einschätzung ist auch vor dem Hintergrund der seit März 2025 zunehmenden innenpolitischen Spannungen nach der Verhaftung des Istanbuler Bürgermeisters Ekrem Imamoglu weiterhin gültig).</w:t>
      </w:r>
    </w:p>
    <w:p>
      <w:r>
        <w:rPr>
          <w:b/>
        </w:rPr>
        <w:t>E. 8.4.3</w:t>
      </w:r>
    </w:p>
    <w:p>
      <w:r>
        <w:t>Aus individueller Sicht erweist sich ein Vollzug der Wegweisung ebenfalls als zumutbar. Die Beschwerdeführenden lebten mehrere Jahre vor der Ausreise in E._______ und es ist davon auszugehen, dass sie dort über ein hinreichendes soziales Netzwerk verfügen. Auch pflegt die Be- schwerdeführerin Kontakt zu ihrer Stiefmutter in F._______. Zwei Schwes- tern leben ebenfalls in E._______, eine in G._______ sowie eine weitere in H._______ und in I._______ (SEM-Akten A22/18 F7-10, F46, F38). Zwar</w:t>
      </w:r>
    </w:p>
    <w:p>
      <w:r>
        <w:t>D-3520/2025 Seite 13 verfügt sie nicht über eine umfassende Schulbildung und Ausbildung, weist jedoch mehrjährige Berufserfahrung auf, zumal sie in verschiedenen (…) als (…) gearbeitet hat. Ihren Aussagen zufolge hat sie den Lebensunterhalt für sich und (…) bestreiten können und (…) wird in einer Pflegefamilie ver- sorgt (vgl. SEM-Akte A22/18 F45-56). Daher erscheint es eher unwahr- scheinlich, dass sie bei ihrer Rückkehr in eine existenzbedrohende Lage geraten würden.</w:t>
      </w:r>
    </w:p>
    <w:p>
      <w:r>
        <w:rPr>
          <w:b/>
        </w:rPr>
        <w:t>E. 8.4.4</w:t>
      </w:r>
    </w:p>
    <w:p>
      <w:r>
        <w:t>Auch aus medizinischer Sicht erweist sich ein Wegweisungsvollzug als zumutbar. Bei den ärztlich festgestellten (…)- und (…)problemen, (…)beschwerden und (…) im (…) der Beschwerdeführerin (vgl. SEM-Akte A23/12) handelt es sich nicht um lebensbedrohliche Krankheiten, welche nicht auch in der Türkei behandelt werden könnten. Eine medizinische Not- lage im Sinne der Rechtsprechung ist demzufolge nicht anzunehmen (vgl. BVGE 2011/50 E. 8.3, 2009/52 E. 10.1, 2009/51 E. 5.5, 2009/28 E. 9.3.1, 2009/2 E. 9.3.2) und ihre Beschwerden stehen einem Vollzug ebenfalls nicht entgegen. Den Akten ist ferner nicht zu entnehmen, dass (…) unter gravierenden gesundheitlichen Problemen leiden würde. Die geltend ge- machten, jedoch ärztlich nicht belegten psychischen Beschwerden können bei Bedarf auch in der Türkei bei den landesweit existierenden psychiatri- schen Einrichtungen behandelt werden. Insbesondere in türkischen Gross- und Provinzhauptstädten ist der Zugang zu Gesundheitsdiensten, Bera- tungsstellen und Behandlungseinrichtungen für psychische Leiden ge- währleistet (vgl. hierzu das Referenzurteil des BVGer E 1948/2018 vom</w:t>
      </w:r>
    </w:p>
    <w:p>
      <w:r>
        <w:rPr>
          <w:b/>
        </w:rPr>
        <w:t>E. 8.4.5</w:t>
      </w:r>
    </w:p>
    <w:p>
      <w:r>
        <w:t>Nach dem Gesagten erweist sich der Vollzug der Wegweisung auch als zumutbar.</w:t>
      </w:r>
    </w:p>
    <w:p>
      <w:r>
        <w:rPr>
          <w:b/>
        </w:rPr>
        <w:t>E. 8.5</w:t>
      </w:r>
    </w:p>
    <w:p>
      <w:r>
        <w:t>Schliesslich obliegt es den Beschwerdeführenden, sich allenfalls bei der zuständigen Vertretung des Heimatstaates die für eine Rückkehr not- wendigen Reisedokumente zu beschaffen (vgl. Art. 8 Abs. 4 AsylG und dazu auch BVGE 2008/34 E. 12), weshalb der Vollzug der Wegweisung auch als möglich zu bezeichnen ist (Art. 83 Abs. 2 AIG).</w:t>
      </w:r>
    </w:p>
    <w:p>
      <w:r>
        <w:t>D-3520/2025 Seite 14</w:t>
      </w:r>
    </w:p>
    <w:p>
      <w:r>
        <w:rPr>
          <w:b/>
        </w:rPr>
        <w:t>E. 8.6</w:t>
      </w:r>
    </w:p>
    <w:p>
      <w:r>
        <w:t>Zusammenfassend hat die Vorinstanz den Wegweisungsvollzug zu Recht als zulässig, zumutbar und möglich bezeichnet. Eine Anordnung der vorläufigen Aufnahme fällt somit ausser Betracht (Art. 83 Abs. 1–4 AIG).</w:t>
      </w:r>
    </w:p>
    <w:p>
      <w:r>
        <w:t>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Bei diesem Ausgang des Verfahrens sind die Kosten von Fr. 750.– den Be- schwerdeführenden aufzuerlegen (Art. 1–3 des Reglements vom 21. Feb- ruar 2008 über die Kosten und Entschädigungen vor dem Bundesverwal- tungsgericht [VGKE; SR 173.320.2]; Art. 63 Abs. 1 VwVG). Der am 13. Juni 2025 in gleicher Höhe geleistete Kostenvorschuss wird zur Bezahlung der Verfahrenskosten verwendet. (Dispositiv nächste Seite)</w:t>
      </w:r>
    </w:p>
    <w:p>
      <w:r>
        <w:t>D-3520/2025 Seite 15</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Dezember 1984 gegen Folter und andere grausame, unmenschliche oder erniedrigende Behandlung oder Strafe (FoK, SR 0.105) und der Pra- xis zu Art. 3 der Konvention vom 4. November 1950 zum Schutze der Men- schenrechte und Grundfreiheiten (EMRK, SR 0.101) darf niemand der Fol- ter oder unmenschlicher oder erniedrigender Strafe oder Behandlung un- terworfen werden.</w:t>
      </w:r>
    </w:p>
    <w:p>
      <w:r>
        <w:rPr>
          <w:b/>
        </w:rPr>
        <w:t>E. 12</w:t>
      </w:r>
    </w:p>
    <w:p>
      <w:r>
        <w:t>Juni 2018 E. 7.3.5.3 m.w.H. und D-6226/2023 vom 18. Januar 2024 E. 8.3.5 m.w.H). Aus Sicht des Kindeswohles spricht ebenfalls nichts ge- gen einen Vollzug der Wegweisung, zumal nach der kurzen Anwesenheits- dauer von etwas mehr als zwei Jahren nicht von einer Verwurzelung in der Schweiz auszugehen ist. Angesichts (…) jungen Alters von (…) wird die Mutter nach wie vor die Hauptbezugspersonen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