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D-3520/2022 vom 12. September 2022</w:t>
      </w:r>
    </w:p>
    <w:p>
      <w:r>
        <w:t>Bundesverwaltungsgericht, 2022-09-12, DE</w:t>
      </w:r>
    </w:p>
    <w:p>
      <w:r>
        <w:rPr>
          <w:b/>
        </w:rPr>
        <w:t xml:space="preserve">Quelle: </w:t>
      </w:r>
      <w:r>
        <w:t>https://mcp.opencaselaw.ch/entscheid/bvger_D-3520_2022</w:t>
      </w:r>
    </w:p>
    <w:p>
      <w:r>
        <w:t>FR: TAF D-3520/2022 du 12 septembre 2022</w:t>
      </w:r>
    </w:p>
    <w:p>
      <w:r>
        <w:t>IT: TAF D-3520/2022 del 12 settembre 2022</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[SR 142.31]; Art. 83 Bst. d Ziff. 1 BGG).</w:t>
      </w:r>
    </w:p>
    <w:p>
      <w:r>
        <w:rPr>
          <w:b/>
        </w:rPr>
        <w:t>E. 1.2</w:t>
      </w:r>
    </w:p>
    <w:p>
      <w:r>
        <w:t>Die Beschwerde ist frist- und formgerecht eingereicht worden (Art. 108 Abs. 1 AsylG, Art. 52 Abs. 1 VwVG). Der Beschwerdeführer hat am Verfah- ren vor der Vorinstanz teilgenommen, ist durch die angefochtene Verfü- gung besonders berührt und hat ein schutzwürdiges Interesse an deren Aufhebung beziehungsweise Änderung. Er ist daher zur Einreichung der Beschwerde legitimiert.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w:t>
      </w:r>
    </w:p>
    <w:p>
      <w:r>
        <w:t>D-3520/2022 Seite 4 Zuständigkeit mit Zustimmung eines zweiten Richters beziehungsweise ei- ner zweiten Richterin entschieden (Art. 111 Bst. e AsylG). Wie nachstehend aufgezeigt, handelt es sich um eine solche, weshalb das Urteil nur summa- risch zu begründen ist (Art. 111a Abs. 2 AsylG).</w:t>
      </w:r>
    </w:p>
    <w:p>
      <w:r>
        <w:rPr>
          <w:b/>
        </w:rPr>
        <w:t>E. 4</w:t>
      </w:r>
    </w:p>
    <w:p>
      <w:r>
        <w:t>Gestützt auf Art. 111a Abs. 1 AsylG wurde auf einen Schriftenwechsel ver- zichtet.</w:t>
      </w:r>
    </w:p>
    <w:p>
      <w:r>
        <w:rPr>
          <w:b/>
        </w:rPr>
        <w:t>E. 5</w:t>
      </w:r>
    </w:p>
    <w:p>
      <w:r>
        <w:t>Der Beschwerdeführer beschränkte sich in seiner Eingabe vom 21. Juni 2022 auf Ausführungen zur nachträglich verschlechterten Situation in Sri Lanka und seiner vorgeblichen zunehmenden Entfremdung von seinem Heimatstaat und der angeblich prekären Lebensbedingungen seines dorti- gen Beziehungsnetzes. Die Vorinstanz hat die Vorbringen des Beschwer- deführers in Anwendung der massgebenden Gesetzesbestimmungen über ausserordentliche Rechtsmittel und Mehrfachgesuche daher zu Recht als Wiedererwägungsgesuch qualifiziert. Erhöhte inhaltliche und formale Er- fordernisse sind im Rahmen von ausserordentlichen Rechtsmitteln zuläs- sig respektive vom Gesetzgeber ausdrücklich so gewollt (vgl. BVGE 2014/39 E. 4.5).</w:t>
      </w:r>
    </w:p>
    <w:p>
      <w:r>
        <w:rPr>
          <w:b/>
        </w:rPr>
        <w:t>E. 6</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 gesuch die Änderung einer ursprünglich fehlerfreien Verfügung und ihre Anpassung an eine nachträglich eingetretene erhebliche Veränderung der Sachlage (vgl. BVGE 2014/39 E. 4.5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Beim Geltendmachen von Wegweisungsvollzugshindernissen gilt ge- mäss Praxis des Bundesverwaltungsgerichts der gleiche Beweisstandard</w:t>
      </w:r>
    </w:p>
    <w:p>
      <w:r>
        <w:t>D-3520/2022 Seite 5 wie bei der Prüfung der Flüchtlingseigenschaft; das heisst, sie sind zu be- weisen, wenn der strikte Beweis möglich ist, und andernfalls wenigstens glaubhaft zu machen (vgl. BVGE 2011/24 E. 10.2 m.w.H.).</w:t>
      </w:r>
    </w:p>
    <w:p>
      <w:r>
        <w:rPr>
          <w:b/>
        </w:rPr>
        <w:t>E. 7.3</w:t>
      </w:r>
    </w:p>
    <w:p>
      <w:r>
        <w:t>Der Vollzug ist nicht zulässig, wenn völkerrechtliche Verpflichtungen der Schweiz einer Weiterreise der Ausländerin oder des Ausländers in den Heimat-, Herkunfts- oder einen Drittstaat entgegenstehen (Art. 83 Abs. 3 AIG). Der Beschwerdeführer beantragt, er sei wegen der Unzulässigkeit des Wegweisungsvollzugs vorläufig aufzunehmen, bringt allerdings keine Gründe hierzu vor. Im Verfahren D-6399/2018 wurde somit abschliessend über die Zulässigkeit des Wegweisungsvollzugs entschieden.</w:t>
      </w:r>
    </w:p>
    <w:p>
      <w:r>
        <w:rPr>
          <w:b/>
        </w:rPr>
        <w:t>E. 7.4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7.5</w:t>
      </w:r>
    </w:p>
    <w:p>
      <w:r>
        <w:t>Das Bundesverwaltungsgericht hat die Zumutbarkeit des Wegwei- sungsvollzugs des aus der Nordprovinz stammenden Beschwerdeführers in Urteil D-6399/2018 vom 10. Mai 2022 unter Berücksichtigung seiner in- dividuellen Situation bejaht. In diesem rechtskräftig abgeschlossenen Ver- fahren hat sich das Gericht mit der Frage der Zumutbarkeit des Wegwei- sungsvollzugs einlässlich auseinandergesetzt und diese bejaht. Auch ak- tuell geht das Bundesverwaltungsgericht nicht von einer Situation allgemei- ner Gewalt in Sri Lanka aus und hält an seiner bisherigen Praxis zur Zu- mutbarkeit des Wegweisungsvollzugs fest (vgl. statt vieler die zwischen- zeitlich ergangenen Urteile E-990/2020 vom 15. Juni 2022 und D-2654/2020 vom 2. Juni 2022). Der Beschwerdeführer weist lediglich auf die sich verschlechternde Wirtschaftslage in Sri Lanka hin, ohne aber neue wesentliche individuelle Gründe geltend zu machen, welche seine Rück- kehr neu unzumutbar erscheinen liessen. Insbesondere vermag (ange- sichts der zitierten Rechtsprechung) nicht zu überzeugen, dass sich das Beziehungsnetz des Beschwerdeführers seit dem Urteil D-6399/2018 vom</w:t>
      </w:r>
    </w:p>
    <w:p>
      <w:r>
        <w:rPr>
          <w:b/>
        </w:rPr>
        <w:t>E. 7.6</w:t>
      </w:r>
    </w:p>
    <w:p>
      <w:r>
        <w:t>Der Beschwerdeführer hat somit keine relevanten Wiedererwägungs- gründe vorgebracht, so dass die Vorinstanz die Wiedererwägung ihres Entscheids nicht in Betracht ziehen musste und das Wiedererwägungs- gesuch zu Recht abgelehnt hat. Nach dem Gesagten besteht auch kein Anlass die angefochtene Verfügung aus formellen Gründen aufzugeben und die Sache an die Vorinstanz zurückzuweisen; der entsprechende Eventualantrag ist abzuweisen. 8. Aus diesen Erwägungen ergibt sich, dass die angefochtene Verfügung Bundesrecht nicht verletzt, den rechtserheblichen Sachverhalt richtig so- wie vollständig feststellt (Art. 106 Abs. 1 AsylG) und angemessen ist. Die Beschwerde ist abzuweisen. 9. Die Rechtsbegehren haben sich als aussichtslos erwiesen, weswegen das Gesuch um Gewährung der unentgeltlichen Rechtspflege (unbesehen der finanziellen Verhältnisse des Beschwerdeführers) abzuweisen ist (Art. 65 Abs. 1 VwVG). Die Gesuche um Verzicht auf die Erhebung eines Kosten- vorschusses sowie um Gewährung der aufschiebenden Wirkung sind mit vorliegendem Entscheid gegenstandslos geworden.</w:t>
      </w:r>
    </w:p>
    <w:p>
      <w:r>
        <w:rPr>
          <w:b/>
        </w:rPr>
        <w:t>E. 8</w:t>
      </w:r>
    </w:p>
    <w:p>
      <w:r>
        <w:t>Aus diesen Erwägungen ergibt sich, dass die angefochtene Verfügung Bundesrecht nicht verletzt, den rechtserheblichen Sachverhalt richtig sowie vollständig feststellt (Art. 106 Abs. 1 AsylG) und angemessen ist. Die Beschwerde ist abzuweisen.</w:t>
      </w:r>
    </w:p>
    <w:p>
      <w:r>
        <w:rPr>
          <w:b/>
        </w:rPr>
        <w:t>E. 9</w:t>
      </w:r>
    </w:p>
    <w:p>
      <w:r>
        <w:t>Die Rechtsbegehren haben sich als aussichtslos erwiesen, weswegen das Gesuch um Gewährung der unentgeltlichen Rechtspflege (unbesehen der finanziellen Verhältnisse des Beschwerdeführers) abzuweisen ist (Art. 65 Abs. 1 VwVG). Die Gesuche um Verzicht auf die Erhebung eines Kostenvorschusses sowie um Gewährung der aufschiebenden Wirkung sind mit vorliegendem Entscheid gegenstandslos geworden.</w:t>
      </w:r>
    </w:p>
    <w:p>
      <w:r>
        <w:rPr>
          <w:b/>
        </w:rPr>
        <w:t>E. 10</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w:t>
      </w:r>
    </w:p>
    <w:p>
      <w:r>
        <w:t>(Dispositiv nächste Seite)</w:t>
      </w:r>
    </w:p>
    <w:p>
      <w:r>
        <w:t>D-3520/2022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