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D-3518/2015 vom 30. Juni 2015</w:t>
      </w:r>
    </w:p>
    <w:p>
      <w:r>
        <w:t>Bundesverwaltungsgericht, 2015-06-30, DE</w:t>
      </w:r>
    </w:p>
    <w:p>
      <w:r>
        <w:rPr>
          <w:b/>
        </w:rPr>
        <w:t xml:space="preserve">Quelle: </w:t>
      </w:r>
      <w:r>
        <w:t>https://mcp.opencaselaw.ch/entscheid/bvger_D-3518_2015</w:t>
      </w:r>
    </w:p>
    <w:p>
      <w:r>
        <w:t>FR: TAF D-3518/2015 du 30 juin 2015</w:t>
      </w:r>
    </w:p>
    <w:p>
      <w:r>
        <w:t>IT: TAF D-3518/2015 del 30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vorinstanzliche Vernehmlassung vom 17. Juni 2015 wurde der Beschwerdeführerin nicht zur Kenntnis gebracht. Nachdem im vorliegenden Urteil dem Prozessbegehren im Ergebnis entsprochen wird, ist aus Gründen der Prozessökonomie von einer Gewährung des rechtlichen Gehörs in diesem Zusammenhang abzusehen (Art. 30 Abs. 2 Bst. c VwVG). Im Sinne der Verfahrenstransparenz wird die Vernehmlassung des SEM diesem Urteil beigelegt.</w:t>
      </w:r>
    </w:p>
    <w:p>
      <w:r>
        <w:rPr>
          <w:b/>
        </w:rPr>
        <w:t>E. 2</w:t>
      </w:r>
    </w:p>
    <w:p>
      <w:r>
        <w:t>Über offensichtlich begründete Beschwerden wird in einzelrichterlicher Zu­ständigkeit mit Zustimmung eines zweiten Richters oder einer zweiten Richterin entschieden (Art. 111 Bst. e AsylG). Wie nachstehend aufgezeigt, handelt es sich hier um eine solche,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 4.1 Aus den Akten ergibt sich - davon geht auch die Vorinstanz aus (vgl. Vernehmlassung S. 2) - dass die Beschwerdeführerin in D._______ als Flüchtling anerkannt worden ist und sie dort über einen bis (...) 2017 gültigen Aufenthaltstitel verfügt. 4.2 Gemäss Art. 31a Abs. 1 Bst. a AsylG tritt das BFM in der Regel auf Asylgesuche nicht ein, wenn Asylsuchende in einen sicheren Drittstaat nach Art. 6a Abs. 2 Bst. b AsylG zurückkehren können, in welchem sie sich vorher aufgehalten haben. Der Bundesrat hat alle EU- und EFTA-Staaten - damit auch D._______ - als sichere Drittstaaten im Sinne von Art. 6a Abs. 2 Bst. b AsylG bezeichnet. Insofern liegt grundsätzlich ein Sachverhalt vor, der zu einem Nichteintretensentscheid im Sinne von Art. 31a Abs. 1 Bst. a AsylG führt. 4.3 Gemäss langjähriger Rechtsprechung der Schweizerischen Asylrekurskommission (ARK) wie auch des Bundesverwaltungsgerichts hätte die Vorinstanz zwingend einen Nichteintretensentscheid fällen müssen und durfte nicht materiell über das Asylgesuch entscheiden, wenn der Tatbestand einer Nichteintretensbestimmung i.S. von aArt. 32 - 34 AsylG erfüllt war. Dies wurde insbesondere damit begründet, dass die gesetzlichen Nichteintretenstatbestände der aArt. 32 - 34 AsylG nicht als "Kann-Bestimmungen" ausgestaltet waren und somit der Vorinstanz bei Vorliegen der Voraussetzungen keinen Ermessensspielraum einräumten (vgl. etwa Urteile des Bundesverwaltungsgerichts E-404/2014 vom 30. Januar 2014, E-1917/2013 vom 16. April 2013 sowie E-938/2013 vom 18. März 2013; EMARK 2002 Nr. 15 E. 5c, EMARK 1994 Nr. 6 E. 5). Inwiefern dies unter dem revidierten, am 1. Februar 2014 in Kraft getretenen Art. 31a Abs. 1 Bst. a AsylG, dessen Wortlaut sich mit aArt. 34 Abs. 2 Bst. a AsylG deckt, nicht mehr der Fall sein sollte, ist nicht ersichtlich. Vielmehr sah der Bundesrat im Hinblick auf die Nichteintretensverfahren bei sicheren Drittstaaten keinen Anlass für einen Systemwechsel (vgl. BBl 2010 4481). Die Vorinstanz hat sich weder in der angefochtenen Verfügung noch in der Vernehmlassung dazu geäussert, weshalb im Verfahren der Beschwerdeführerin kein Nichteintretensentscheid gefällt wurde. Insbesondere lässt sich den vorinstanzlichen Akten nicht entnehmen, dass und weshalb die Beschwerdeführerin nicht nach D._______ zurückkehren könnte. Vielmehr führt das SEM in seiner Vernehmlassung aus, die Beschwerdeführerin müsse gemäss der Richtlinie 2008/115/EG des Europäischen Parlaments und des Rates vom 16. Dezember 2008 über gemeinsame Normen und Verfahren in den Mitgliedstaaten zur Rückführung illegal aufhältiger Drittstaatsangehöriger nach D._______ zurückkehren. 4.4 Nach dem Gesagten ergibt sich, dass das SEM verpflichtet gewesen wäre, auf das Asylgesuch der Beschwerdeführerin nicht einzutreten. Indem es auf das Gesuch eingetreten und es in der Sache behandelt hat, hat es Bundesrecht verletzt. 4.5 Von der Kassation eines verfahrensrechtlich mangelhaften Entscheides kann abgesehen werden, wenn der Mangel auf Beschwerdestufe geheilt werden kann. Dies ist indessen formell betrachtet nicht möglich, da die Beschwerdeinstanz nicht an die Stelle des materiellen Ablehnungsentscheides einen formellen Nichteintretensentscheid setzen kann (vgl. Urteile des Bundesverwaltungsgerichts E-404/2014 vom 30. Januar 2014 und E-938/2013 vom 18. März 2013). Die angefochtene Verfügung ist deshalb zu kassieren und die Sache zur neuen Entscheidung im Sinne der Erwägungen an das SEM zurückzuweisen. 4.6 Bei dieser Sachlage ist auf die Kritik in der Beschwerdeschrift sowie auf die weiteren Anträge nicht weiter einzugehen.</w:t>
      </w:r>
    </w:p>
    <w:p>
      <w:r>
        <w:rPr>
          <w:b/>
        </w:rPr>
        <w:t>E. 5.1</w:t>
      </w:r>
    </w:p>
    <w:p>
      <w:r>
        <w:t>Bei diesem Ausgang des Verfahrens sind keine Kosten zu erheben (Art. 63 Abs. 1 und 2 VwVG).</w:t>
      </w:r>
    </w:p>
    <w:p>
      <w:r>
        <w:rPr>
          <w:b/>
        </w:rPr>
        <w:t>E. 5.2</w:t>
      </w:r>
    </w:p>
    <w:p>
      <w:r>
        <w:t>Die Beschwerdeinstanz kann der ganz oder teilweise obsiegenden Partei eine Entschädigung für ihr erwachsene notwendige und verhältnismässig hohe Kosten zusprechen (Art. 64 Abs. 1 VwVG). Vorliegend gilt die Beschwerdeführerin jedoch nicht als obsiegende Partei. Die angefochtene Verfügung wird nicht etwa wegen einer zu Recht erhobenen Beschwerde aufgehoben, sondern einzig deshalb, weil die Vorinstanz das Gesuch unzulässigerweise materiell behandelt hat.</w:t>
      </w:r>
    </w:p>
    <w:p>
      <w:r>
        <w:rPr>
          <w:b/>
        </w:rPr>
        <w:t>E. 5.3</w:t>
      </w:r>
    </w:p>
    <w:p>
      <w:r>
        <w:t>Der amtlich eingesetzten Rechtsvertreterin ist eine Entschädigung zu Lasten des Gerichts auszurichten. Die Rechtsvertreterin hat keine Kostennote eingereicht. Auf die Nachforderung einer solchen kann jedoch verzichtet werden, da sich im vorliegenden Verfahren der Aufwand zuverlässig abschätzen lässt (Art. 14 Abs. 2 des Reglements vom 21. Februar 2008 über die Kosten und Entschädigungen vor dem Bundesverwaltungsgericht [VGKE, SR 173.320.2]). In Anwendung der massgeblichen Bemessungsfaktoren (vgl. Art. 12 i.V.m. Art. 8-11 VGKE) ist lic. iur. Ariane Burkhardt für ihre Bemühungen zu Lasten des Gerichts ein amtliches Honorar in der Höhe von Fr. 800.-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