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D-3514/2019 vom 15. August 2019</w:t>
      </w:r>
    </w:p>
    <w:p>
      <w:r>
        <w:t>Bundesverwaltungsgericht, 2019-08-15, DE</w:t>
      </w:r>
    </w:p>
    <w:p>
      <w:r>
        <w:rPr>
          <w:b/>
        </w:rPr>
        <w:t xml:space="preserve">Quelle: </w:t>
      </w:r>
      <w:r>
        <w:t>https://mcp.opencaselaw.ch/entscheid/bvger_D-3514_2019</w:t>
      </w:r>
    </w:p>
    <w:p>
      <w:r>
        <w:t>FR: TAF D-3514/2019 du 15 août 2019</w:t>
      </w:r>
    </w:p>
    <w:p>
      <w:r>
        <w:t>IT: TAF D-3514/2019 del 15 agosto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Kognition des Bundesverwaltungsgerichts und die zulässigen Rügen richten sich im Asylbereich nach Art. 106 aAbs.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Der Beschwerdeführer rügt die unrichtige und unvollständige Feststellung des rechtserheblichen Sachverhalts sowie die Verletzung der Begründungspflicht. Er vermengt dabei die Frage der Feststellung des rechtserheblichen Sachverhalts mit der Frage der rechtlichen Würdigung der Sache. Alleine darin, dass die Vorinstanz aus sachlichen Gründen zu einer anderen Würdigung der Gesuchsvorbringen gelangt, als von ihm verlangt, liegt keine Verletzung der Untersuchungspflicht respektive keine ungenügende oder falsche Sachverhaltsfeststellung vor. Bezeichnenderweise begründet der Beschwerdeführer die formellen Rügen denn auch nicht. Er räumt gegenteils ein, die vorinstanzliche Zusammenfassung des Sachverhalts sei im Wesentlichen korrekt (vgl. Rechtsmittelschrift vom 10. Juli 2019. S. 3). Es ergeben sich auch nach Prüfung der Akten keine hinreichenden Anhaltspunkte, welche den Schluss zulassen würden, die Vorinstanz habe den Sachverhalt unvollständig abgeklärt respektive die Begründungspflicht verletzt. 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ist auch daher nicht zu erkennen, weil es dem Beschwerdeführer möglich war, sich ein Bild über die Tragweite des vorinstanzlichen Entscheides zu machen und diesen sachgerecht anzufechten (BGE 129 I 232 E. 3.2). Die formellen Rügen erweisen sich dem Gesagten nach als unbegründet. Es besteht deshalb keine Veranlassung, die angefochtene Verfügung aufzuheben und die Sache an die Vorinstanz zurückzuweisen.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führte in der angefochtenen Verfügung aus, die Aussagen des Beschwerdeführers bei der BzP und der Anhörung seien teilweise äusserst widersprüchlich ausgefallen. Aufgrund dieser widersprüchlichen Angaben kämen bereits erhebliche Zweifel an der Glaubhaftigkeit seiner Aussagen auf. Seine Vorbringen zur genannten Befragung im Flüchtlingslager, zum Aufenthalt im von der Armee kontrollierten Lager sowie zur heimlichen Flucht aus dem Lager seien als nachgeschoben und insgesamt als unglaubhaft zu qualifizieren. Es entstehe der Verdacht, dass er mit seinen nachgeschobenen Angaben versucht habe, ein persönliches Profil zu kreieren, welches das geltend gemachte Interesse der Behörden an seiner Person rechtfertigen würde. Folglich entstünden auch Zweifel an der Glaubhaftigkeit seiner Aussagen zu der geltend gemachten Verfolgung durch die sri-lankischen Behörden. Der Umstand, dass er die geltend gemachte letzte Verfolgung nach dem Märtyrertag in der Anhörung nicht erwähnt habe und die groben zeitlichen Ungereimtheiten beim Versuch, diesen Vorfall nachträglich in seine Schilderungen einzuordnen, würden erhebliche Zweifel aufkommen lassen, ob sich der Vorfall tatsächlich zugetragen habe. Folglich würden sich auch die Zweifel an der Glaubhaftigkeit seiner übrigen Vorbringen erhärten. Seine äusserst widersprüchlichen Angaben zum Verfolgungsmotiv sowie zu den Behörden, die ihn verfolgt haben sollten, würden die Zweifel an der dargelegten Verfolgung durch die sri-lankischen Behörden bestätigen. Die eingereichten Beweismittel (SEM act. A22/BM1-BM3) vermöchten die geltend gemachten Asylvorbringen nicht zu belegen, zumal es sich um Gefälligkeitsschreiben handle, welche in keinem inhaltlichen Zusammenhang zu seinen Vorbringen stünden. Die Vorbringen würden den Anforderungen an die Glaubhaftigkeit gemäss Art. 7 AsylG nicht standhalten, so dass deren Asylrelevanz nicht geprüft werden müsse. In Anbetracht der im Referenzurteil E-1866/2015 vom 15. Juli 2016 definierten Risikogruppen lägen keine Faktoren vor, welche eine Gefährdung im Sinne von Art. 3 AsylG zu begründen vermöchten. Aufgrund des blossen Umstands, dass der Beschwerdeführer Tamile sei, sein Heimatland verlassen habe und sich seit 2016 im Ausland aufhalte, aber in seinem Heimatland noch nie in Haft gewesen oder vor Gericht gestanden und kein Mitglied der LTTE gewesen sei, sei nicht davon auszugehen, dass er in den Augen der sri-lankischen Sicherheitsbehörden als Person angesehen werde, die enge Beziehungen zu den LTTE gepflegt habe. Da sämtliche weitere Familienangehörigen nach wie vor unbescholten in Sri Lanka leben könnten, sei nicht vom Vorliegen eines Risikos einer Reflexverfolgung auszugehen.</w:t>
      </w:r>
    </w:p>
    <w:p>
      <w:r>
        <w:rPr>
          <w:b/>
        </w:rPr>
        <w:t>E. 5.2</w:t>
      </w:r>
    </w:p>
    <w:p>
      <w:r>
        <w:t>Der Beschwerdeführer entgegnet in seiner Rechtsmitteleingabe, er habe für die LTTE nicht nur als (...) beziehungsweise (...) gearbeitet, sondern bereits als Kind (...) für die Organisation gemacht. Es stimme zwar, dass er grosse Mühe gehabt habe, seine Geschichte zeitlich und räumlich genau einzuordnen und dementsprechend zu schildern. Es sei dabei allerdings zu berücksichtigen, dass er die Schule lediglich bis zur fünften Klasse besucht habe, er deshalb nicht gut erklären könne. Auch habe er sich während all den Jahren in Sri Lanka oftmals an verschiedenen Orten aufgehalten, weshalb von ihm nicht erwartet werden könne, dass er sich an alle Daten und Zeitspannen seiner Aufenthalte noch lückenlos erinnern könne. Zudem sei er bei den Interviews immer sehr nervös gewesen, weshalb er nicht immer alles genau gewusst habe. Weiter habe man ihm bei der BzP gesagt, er solle sich kurz fassen. Betreffend seine Aufenthaltsdauer im Flüchtlingslager habe er bei der Anhörung erklärt, dass er bei der BzP nicht das geschlossene Camp, sondern das Temporär-Camp gemeint habe. Mit dem Begriff der «verschiedenen Gruppen» habe er anlässlich der BzP nur sicherstellen wollen, dass es sich jeweils um verschiedene Personen gehandelt habe, welche ihn gesucht hätten. Es seien immer mehrere Leute, also eine Gruppe, gekommen. Sie alle hätten aber dem CID angehört. Er habe bei der Anhörung erklärt, dass er das Wort «paramilitärisch» nicht kenne. Es könne auch sein, dass bei der Übersetzung etwas schiefgelaufen und deshalb falsch aufgeschrieben worden sei. Weiter müsse auch die Zeitspanne von eineinhalb Jahren zwischen der BzP und seiner Anhörung bei der Würdigung seiner Aussagen berücksichtigt werden. Er habe an der Anhörung vergessen, den Märtyrertag zu erwähnen, da dort der Zeitraum vor 2014 Thema gewesen sei. Er habe aber dann erklärt, nichts mit diesen Anlässen beim Heldengedenktag zu tun gehabt zu haben, und dass es zwei Tage später strenge Kontrollvorschriften in seinem Dorf gegeben habe und seine Schwester anschliessend nach zwei Wochen wegen ihm erneut aufgesucht worden sei. Soweit die Vorinstanz ausführe, dass er keinerlei Risikofaktoren erfülle, sei festzuhalten, dass er seinen Reisepass nur dank des Schleppers erhalten habe und auch nur mit dessen Hilfe illegal habe ausreisen können. Zudem würden die sri-lankischen Behörden auch Personen als Gefährder für die Sicherheit ansehen, welche lediglich niederschwellige Arbeit bei den LTTE verrichtet hätten. Es könne daher nicht ausgeschlossen werden, dass er bei einer Rückkehr am Flughafen abgefangen und befragt werde. Er und seine Schwester seien aus politischen Gründen vom CID immer wieder behelligt und befragt worden.</w:t>
      </w:r>
    </w:p>
    <w:p>
      <w:r>
        <w:rPr>
          <w:b/>
        </w:rPr>
        <w:t>E. 6.1</w:t>
      </w:r>
    </w:p>
    <w:p>
      <w:r>
        <w:t>Die vorinstanzliche Beweiswürdigung ist nicht zu beanstanden. In der angefochtenen Verfügung wird im Einzelnen dargelegt, aus welchen Gründen die Vorbringen des Beschwerdeführers als widersprüchlich und - soweit die dargelegte Befragung im Flüchtlingslager, den Aufenthalt im von der Armee kontrollierten Lager sowie die Flucht aus dem Lager betreffend - als nachgeschoben und insgesamt als unglaubhaft zu erachten sind. Was in der Rechtsmitteleingabe dagegen vorgebracht wird, ist nicht geeignet, die Aussagen des Beschwerdeführers in einem anderen Licht erscheinen zu lassen.</w:t>
      </w:r>
    </w:p>
    <w:p>
      <w:r>
        <w:rPr>
          <w:b/>
        </w:rPr>
        <w:t>E. 6.2</w:t>
      </w:r>
    </w:p>
    <w:p>
      <w:r>
        <w:t>Soweit der Beschwerdeführer einwendet, die Schule lediglich bis zur 5. Klasse besucht zu haben und anlässlich der BzP angehalten worden zu sein, sich kurzzufassen, ist entgegenzuhalten, dass er sowohl zu Beginn der BzP als auch der Anhörung auf die Wichtigkeit vollständiger, lückenloser und wahrheitsgetreuer Angaben wie auch auf seine Verantwortung für seine Aussagen hingewiesen wurde (vgl. SEM act. A6 S. 1 f. und A21 S. 1). Der entsprechende Einwand erweist sich demnach als unbehelflich. Auch sein Hinweis auf seine mangelnde Schulbildung vermag nicht zu überzeugen, war er doch im Rahmen der Befragungen problemlos imstande, die jeweiligen Fragen zu seiner Person und zu seiner Familie präzis und wiederholt korrekt zu beantworten (vgl. SEM act. A6 Ziff. 1.01 ff. und A21 F. 7 ff.). Lediglich einmal musste eine Frage wiederholt werden (vgl. SEM act. 21 F. 60). Dem Verlauf der Protokolle der BzP und der Anhörung sind sodann keine Anzeichen darauf zu entnehmen, dass der Beschwerdeführer bei den Befragungen verwirrt oder unter Druck gewesen wäre. Überdies obliegt es der Hilfswerkvertretung, die Einhaltung eines korrekten Ablaufs bei der Anhörung zu beobachten. Vorliegend wurden durch die Hilfswerkvertretung keine entsprechenden Beanstandungen festgehalten. Vielmehr räumte sie ein, es habe zwischen der BzP und der Anhörung mehrere Widersprüche gegeben. Ihrer Auffassung, die diesbezügliche Begründung des Beschwerdeführers, er habe bei der BzP keine Gelegenheit für ausführliche Erzählungen gehabt, sei plausibel, kann indessen nicht gefolgt werden. Der Beschwerdeführer wurde - wie bereits ausgeführt - auf seine Verantwortung für seine Aussagen hingewiesen und er bestätigte zudem durch seine Unterschrift, dass ihm das Protokoll in eine verständliche Sprache rückübersetzt worden sowie dass es vollständig sei und seiner freien Äusserung entspreche. Es ist daher der Schluss zu ziehen, dass die BzP und die Anhörung in nicht zu beanstandender Weise durchgeführt wurden. Die Vorinstanz hat folglich zu Recht auf die protokollierten Aussagen des Beschwerdeführers abgestellt.</w:t>
      </w:r>
    </w:p>
    <w:p>
      <w:r>
        <w:rPr>
          <w:b/>
        </w:rPr>
        <w:t>E. 6.3</w:t>
      </w:r>
    </w:p>
    <w:p>
      <w:r>
        <w:t>Der Beschwerdeführer räumt ein (Rechtsmittelschrift S. 5), grosse Mühe gehabt zu haben, seine Geschichte zeitlich und räumlich genau einzuordnen und dementsprechend zu schildern. Hierzu ist festzuhalten, dass er sich namentlich hinsichtlich des konkreten Ausreisegrundes widerspricht. So führte er anlässlich der BzP frei aus, letztmals (...) vom CID gesucht worden zu sein. Dabei sei er verdächtigt worden, am genannten Gedenktag (...) und (...) zu haben (vgl. SEM act. A6 Ziff. 7.02). Mit Blick auf diese Ausführungen erstaunt, dass dieser (...) beziehungsweise seine angeblichen Hilfsarbeiten an der Anhörung trotz mehrmaliger Fragen unerwähnt blieben (vgl. SEM act. A21 F. 36, F. 94 f. und F. 110). Erst auf direktes Nachfragen kam er auf diesen Tag zu sprechen (vgl. SEM act. A21 F. 127 ff.). Eine asylsuchende Perons hat lediglich selber Erlebtes wiederzugeben. Es darf deshalb erwartet werden, dass die in Frage stehenden Ereignisse in den wesentlichen Zügen und in der chronologisch richtigen Reihenfolge wiederholt korrekt erzählt werden können, umso mehr als es sich bei den geschilderten Vorfällen um einschneidende Ereignisse handelt, die erfahrungsgemäss besonders gut im Gedächtnis haften bleiben. Entsprechend vermag an dieser Stelle auch der Einwand des Beschwerdeführers, zwischen der BzP und der Anhörung sei eine lange Zeitspanne von eineinhalb Jahren verstrichen, nicht zu überzeugen, zumal die Ausführungen zum (...) in der freien Erzählung gänzlich ausgeblieben sind.</w:t>
      </w:r>
    </w:p>
    <w:p>
      <w:r>
        <w:rPr>
          <w:b/>
        </w:rPr>
        <w:t>E. 6.4</w:t>
      </w:r>
    </w:p>
    <w:p>
      <w:r>
        <w:t>Ansonsten erschöpfen sich die Beschwerdevorbringen in einer Wiederholung des bereits dargelegten Sachverhalts und der wiederholten Äusserung, dass seine Asylvorbringen durchaus glaubhaft und auch asylrelevant seien. Damit setzt er sich jedoch mit den vorinstanzlichen Erwägungen nicht mehr weiter auseinander, mithin legt er nicht dar, inwiefern die Vor-instanz zu Unrecht auf Unglaubhaftigkeit geschlossen hat. Solches ist auch nicht ersichtlich.</w:t>
      </w:r>
    </w:p>
    <w:p>
      <w:r>
        <w:rPr>
          <w:b/>
        </w:rPr>
        <w:t>E. 6.5</w:t>
      </w:r>
    </w:p>
    <w:p>
      <w:r>
        <w:t>Etwas anderes vermag der Beschwerdeführer auch nicht aus den eingereichten Beweismitteln abzuleiten. Das SEM hat zutreffend ausgeführt, dass es sich bei den zwei Adressbestätigungen für die Jahre 1996 und 2008 um reine Gefälligkeitsschreiben mit keinem inhaltlichen Zusammenhang zu den Vorbringen des Beschwerdeführers handelt (vgl. SEM act. A22, BM 1-2) und sich das übrige Beweismittel (Geburtsurkunde) auf den nicht relevanten Sachverhalt bezieht.</w:t>
      </w:r>
    </w:p>
    <w:p>
      <w:r>
        <w:rPr>
          <w:b/>
        </w:rPr>
        <w:t>E. 6.6</w:t>
      </w:r>
    </w:p>
    <w:p>
      <w:r>
        <w:t>In Übereinstimmung mit der Vorinstanz sind die geschilderten Fluchtgründe des Beschwerdeführers insgesamt als unglaubhaft zu qualifizieren.</w:t>
      </w:r>
    </w:p>
    <w:p>
      <w:r>
        <w:rPr>
          <w:b/>
        </w:rPr>
        <w:t>E. 6.7</w:t>
      </w:r>
    </w:p>
    <w:p>
      <w:r>
        <w:t>Sodann hat die Vorinstanz zutreffend festgestellt, dass keine Risikofaktoren im Sinne des Referenzurteils E-1866/2015 vom 15. Juli 2016 vorliegen, aufgrund derer der Beschwerdeführer bei einer Rückkehr mit beachtlicher Wahrscheinlichkeit asylrelevanten Verfolgungsmassnahmen ausgesetzt wäre. Selbst seine Herkunft aus dem Norden - trotz allenfalls erhöhter Aufmerksamkeit der sri-lankischen Behörden im Rahmen der Wiedereinreise und Wiedereingliederung - und seine dreieinhalbjährige Landesabwesenheit in einem tamilischen Diasporazentrum wie die Schweiz bieten keinen hinreichend begründeten Grund zur Annahme, er habe Massnahmen zu befürchten, welche über einen sogenannten Background Check (Befragungen, Überprüfung von Auslandsaufenthalten und Tätigkeiten in Sri Lanka und im Ausland) hinausgehen. Die Risikoprüfung fällt daher, wie von der Vorinstanz festgehalten, zu Ungunsten des Beschwerdeführers aus. Um Wiederholungen zu vermeiden, kann auf die zutreffenden Erwägungen in der angefochtenen Verfügung verwiesen werden.</w:t>
      </w:r>
    </w:p>
    <w:p>
      <w:r>
        <w:rPr>
          <w:b/>
        </w:rPr>
        <w:t>E. 6.8</w:t>
      </w:r>
    </w:p>
    <w:p>
      <w:r>
        <w:t>Dem Beschwerdeführer gelingt es somit nicht, die Flüchtlingseigenschaft nachzuweisen oder zumindest glaubhaft zu machen, weshalb das SEM das Asylgesuch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hier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rPr>
          <w:b/>
        </w:rPr>
        <w:t>E. 8.3</w:t>
      </w:r>
    </w:p>
    <w:p>
      <w:r>
        <w:t>Der Vollzug der Wegweisung kann nach Art. 83 Abs. 4 AIG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auch unter Berücksichtigung der dortigen aktuellen Ereignisse.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13.2). In seinem neusten als Referenzurteil publizierten Entscheid erachtet das Bundesverwaltungsgericht auch den Wegweisungsvollzug ins "Vanni-Gebiet" als grundsätzlich zumutbar (vgl. UrteilD-3619/2016 vom 16. Oktober 2017 E. 9.5).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31.07.2019; NZZ vom 25. April 2019, Polizei nimmt weitere 16 Verdächtige fest - was wir über die Anschläge in Sri Lanka wissen, https://www.nzz.ch/international/anschlaege-in-sri-lanka-was-wir-wissen-was-unklar-ist-ld.1476859, abgerufen am 31.07.2019; New York Times [NYT], What We Know and Don't Know About the Sri Lanka Attacks, https://www.nytimes.com/2019/04/22/world/asia/sri-lanka-attacks-bombings-explosions-updates.html?action=click&amp;module=Top%20Stories&amp;pgtype=Homepage, abgerufen 31.07.2019) nichts zu ändern. Es ist trotz der gewalttätigen Angriffe in Negembo, Colombo und in Batticaloa aktuell nicht von einer im ganzen Land herrschenden Situation allgemeiner Gewalt auszugehen. Der Beschwerdeführer gehört auch nicht zu einer Personengruppe, die nach den Vorfällen am 22. April 2019 einem erhöhten Risiko ausgesetzt ist, Opfer von weiteren Anschlägen zu werden.</w:t>
      </w:r>
    </w:p>
    <w:p>
      <w:r>
        <w:rPr>
          <w:b/>
        </w:rPr>
        <w:t>E. 8.3.2</w:t>
      </w:r>
    </w:p>
    <w:p>
      <w:r>
        <w:t>Der Beschwerdeführer stammt ursprünglich aus dem Distrikt Jaffna, Nordprovinz, wo er bis im Jahr 1990 lebte. In der Folge hielt er sich bis nach Kriegsende im Vanni-Gebiet auf. Auch wenn sein Aufenthaltsort ab 2010 bis zur Ausreise im Januar 2016 nicht abschliessend geklärt werden konnte (vgl. widersprüchliche Angaben des Beschwerdeführers unter Bst. A.b und A.c), ist gemäss seinen übereinstimmenden Angaben in der BzP und der Anhörung (SEM act. A21 F22, 25) doch davon auszugehen, dass er - allenfalls mit Unterbrüchen - mindestens ab dem Jahr 2014 bis Ende 2015 wieder in C._______, Distrikt Jaffna, gelebt hat, wo nach wie vor seine Schwester wohnt. Auch zwei Onkel und zwei Tanten leben im Distrikt Jaffna (in B._______; vgl. SEM act. A6 Pt. 3.01). Es ist davon auszugehen, dass er bei der Wiedereingliederung auf die Unterstützung seiner Verwandtschaft zählen kann, zumal er auch bei der Ausreise organisatorisch wie auch finanziell von seinem Onkel unterstützt worden war (vgl. SEM act. A21 F 32, 34). Angesichts der in C._______ und B._______ lebenden Familienangehörigen steht es ihm offen, an welchem Ort er sich niederlassen will. Ihm ist die wirtschaftliche Reintegration und der Aufbau einer neuen Existenz zuzumuten, zumal er jung ist und über Arbeitserfahrung als (...) und (...) verfügt (vgl. SEM act. Pt. 1.17).</w:t>
      </w:r>
    </w:p>
    <w:p>
      <w:r>
        <w:rPr>
          <w:b/>
        </w:rPr>
        <w:t>E. 8.3.3</w:t>
      </w:r>
    </w:p>
    <w:p>
      <w:r>
        <w:t>Der Beschwerdeführer bringt vor, dass es ihm psychisch sehr schlecht gehe. Er könne nicht schlafen und denke viel nach (Rechtsmittelschrift vom 10. Juli 2019. S. 6).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hier - abgesehen davon, dass der Beschwerdeführer die dargelegten psychischen Beschwerden nicht durch einen ärztlichen Bericht belegt hat und in der BzP noch ausgeführt hatte, er habe keine gesundheitlichen Beschwerden (vgl. SEM act. A6 Pt. 8.02) - nicht erreicht. Die vorgebrachten gesundheitlichen Beschwerden stellen demnach kein Wegweisungshindernis dar.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(aArt. 106 Abs. 1 AsylG) und - soweit diesbezüglich überprüfbar - angemessen ist. Die Beschwerde ist abzuweisen.</w:t>
      </w:r>
    </w:p>
    <w:p>
      <w:r>
        <w:rPr>
          <w:b/>
        </w:rPr>
        <w:t>E. 10.1</w:t>
      </w:r>
    </w:p>
    <w:p>
      <w:r>
        <w:t>Der Beschwerdeführer beantragt die Gewährung der unentgeltlichen Prozessführung gemäss Art. 65 Abs. 1 VwVG sowie die Beiordnung eines amtlichen Rechtsbeistandes gemäss aArt. 110a AsylG. Aufgrund der vorstehenden Erwägungen ergibt sich, dass seine Begehren als aussichtlos zu gelten haben. Damit ist eine der beiden kumulativ zu erfüllenden Voraussetzungen (Bedürftigkeit und Nicht-Aussichtslosigkeit) nicht gegeben, weshalb die Gesuche ungeachtet einer nicht näher begründeten Bedürftigkeit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