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D-3503/2019 vom 24. Juli 2019</w:t>
      </w:r>
    </w:p>
    <w:p>
      <w:r>
        <w:t>Bundesverwaltungsgericht, 2019-07-24, DE</w:t>
      </w:r>
    </w:p>
    <w:p>
      <w:r>
        <w:rPr>
          <w:b/>
        </w:rPr>
        <w:t xml:space="preserve">Quelle: </w:t>
      </w:r>
      <w:r>
        <w:t>https://mcp.opencaselaw.ch/entscheid/bvger_D-3503_2019</w:t>
      </w:r>
    </w:p>
    <w:p>
      <w:r>
        <w:t>FR: TAF D-3503/2019 du 24 juillet 2019</w:t>
      </w:r>
    </w:p>
    <w:p>
      <w:r>
        <w:t>IT: TAF D-3503/2019 del 24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vorliegenden Verfahren wurde auf die Durchführung eines Schriftenwechsels verzichtet (Art. 111a Abs. 1 AsylG).</w:t>
      </w:r>
    </w:p>
    <w:p>
      <w:r>
        <w:rPr>
          <w:b/>
        </w:rPr>
        <w:t>E. 4</w:t>
      </w:r>
    </w:p>
    <w:p>
      <w:r>
        <w:t>Mit der am 1. März 2019 in Kraft getretenen Teilrevision des Asylgesetzes (AS 2016 3101) wurde der Asylbereich in der Schweiz neustrukturiert. Hauptziel der Neustrukturierung ist die Beschleunigung der Asylverfahren. Um dieses Ziel zu erreichen, werden die Verfahrensabläufe gestrafft, in einer Vorbereitungsphase und anschliessenden Taktenphase soll eine Triage der Verfahren stattfinden (vgl. Art. 26 und 26c AsylG). Diese sollen mehrheitlich als Nichteintretensverfahren, namentlich Dublin-Verfahren, und als beschleunigte Verfahren rasch in Zentren des Bundes rechtskräftig abgeschlossen werden (vgl. Art. 24 Abs. 4 AsylG). Verfahren hingegen, bei denen nach der Anhörung zu den Asylgründen weitere Abklärungen erforderlich sind, sollen im erweiterten Verfahren behandelt werden (vgl. Art. 26d AsylG). Während des erweiterten Verfahrens werden die Asylsuchenden in den Kantonen untergebracht. Die entsprechende Triage erfolgt durch das SEM nach der Anhörung (vgl. zu allem Botschaft zur Änderung des Asylgesetzes [Neustrukturierung des Asylbereichs] vom 3. September 2014, BBl 2014 7991 ff. mit weiteren Hinweisen).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5.3</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 Basel/Genf 2009, Art. 12, N 15 ff.).</w:t>
      </w:r>
    </w:p>
    <w:p>
      <w:r>
        <w:rPr>
          <w:b/>
        </w:rPr>
        <w:t>E. 6.1</w:t>
      </w:r>
    </w:p>
    <w:p>
      <w:r>
        <w:t>Die Vorinstanz begründete ihren abweisenden Entscheid damit, die Vorbringen der Beschwerdeführenden könnten diesen nicht geglaubt werden. So sei es ihnen nicht gelungen, diese substanziiert, plausibel und widerspruchsfrei darzulegen, so dass ein nachvollziehbares Gesamtbild entstehen würde. Da beide über eine universitäre Bildung verfügen würden, könnten von ihnen Aussagen von hoher Qualität erwartet werden. Die Aussagen zu wesentlichen Elementen der Kernvorbringen würden jedoch nicht die Qualität aufweisen, welche von tatsächlich Erlebtem zu erwarten wäre. So hätten sie sich in einem entscheidenden Punkt widersprochen. Anlässlich der zweiten Anhörung habe die Beschwerdeführerin geltend gemacht, am Tag zuvor einen Anruf ihrer Schwester erhalten und erfahren zu haben, dass ihre Mutter und ihre Schwester von den iranischen Sicherheitskräften angerufen worden seien. Davon habe sie dem Beschwerdeführer am gleichen Abend erzählt. Dieser habe bei der Anhörung aber angegeben, nichts über den Inhalt des letzten Gespräches der Beschwerdeführerin mit ihrer Familie zu wissen. Auch auf den Widerspruch hingewiesen, hätten die Beschwerdeführenden diesen nicht auflösen können. Dabei sei irrelevant, dass dem Beschwerdeführer anlässlich der Anhörung fälschlicherweise mitgeteilt worden sei, die Familienangehörigen der Beschwerdeführerin seien von Sicherheitskräften mitgenommen worden. Die durch diesen Widerspruch entstandenen Zweifel würden dadurch bestärkt, dass die Beschwerdeführerin nicht in der Lage gewesen sei, nachvollziehbar und substantiiert darzulegen, weshalb sie nach der geltend gemachten ersten Festnahme das Risiko eingegangen sei, 50 christliche Bücher von der Schweiz in den Iran zu bringen. Dasselbe gelte für das Vorbringen, sie habe später bei sich zu Hause Treffen der Hauskirche abgehalten. Auch diese risikoreiche Entscheidung habe sie nicht substantiiert darlegen können, sondern sei in ihren Schilderungen oberflächlich und stereotyp geblieben. Ebenso sei ihre Schilderung der Reaktion ihrer Verwandten, als diese von ihrer Konversion erfahren hätten, eindimensional und vage ausgefallen. Die Vorbringen des Beschwerdeführers seien sodann ebenfalls unsubstanziiert ausgefallen. Dies gelte für die Angaben zur Konversion der Mutter und der Schwester sowie zu den Treffen der Hauskirche bei ihm zu Hause. Ausserdem hätten sich die Beschwerdeführenden in weiteren wesentlichen Punkten gegenseitig widersprochen. So habe die Beschwerdeführerin angegeben, bei ihrer Entlassung aus dem Gefängnis habe ihre Mutter vor dem Gefängnis auf sie gewartet, sei auf sie zugekommen und habe sie umarmt, während der Beschwerdeführer im Auto gewartet habe. Der Beschwerdeführer habe diesbezüglich ausgesagt, er habe neben der Schwiegermutter gewartet, die Beschwerdeführerin habe zuerst ihre Mutter und dann ihn umarmt. Auf Vorhalten der Aussagen seiner Frau habe er sodann angegeben, er sei zuerst im Auto geblieben und dann ausgestiegen, um sie zu umarmen. Ferner habe er angegeben, die Mitglieder der Hauskirche hätten sich für die Vorbereitung der Treffen per Telefon ausgetauscht, während die Beschwerdeführerin gesagt habe, die Mitglieder ihrer Hauskirche hätten aus Sicherheitsgründen keine Adressen oder Telefonnummern von anderen haben dürfen und alle Vorbereitungen seien jeweils am vorherigen Treffen besprochen worden. An der Einschätzung, die Vorbringen seien unglaubhaft, würden sodann auch die eingereichten Beweismittel nichts zu ändern vermögen, da diese erfahrungsgemäss leicht käuflich erhältlich seien, und ausserdem lediglich Kopien eingereicht worden seien. Da den Beschwerdeführenden ihre Vorbringen somit nicht geglaubt werden könnten, müsse deren Asylrelevanz nicht geprüft werden. Auf eine eingehende Prüfung der Glaubhaftigkeit der Konversion der Beschwerdeführerin könne ebenfalls verzichtet werden, da eine Konversion zum Christentum für sich alleine im Iran keine asylrelevanten Massnahmen des Staates auslöse. Die Ausführungen der Rechtsvertretungen in der Stellungnahme würde nichts an dieser Einschätzung ändern. Zwar treffe es zu, dass die Beschwerdeführenden detailliert und ausgiebig über die beiden Festnahmen, die Inhaftierungen und die laufenden Gerichtsverfahren berichtet hätten. Dennoch würden ihre Aussagen zu diesen Ereignissen unter Berücksichtigung ihres hohen Bildungsniveaus nicht eine derartige Dichte an Realkennzeichen enthalten, dass die Ereignisse als überwiegend glaubhaft zu beurteilen wären. Insgesamt gehe das SEM nach einer Gesamtwürdigung daher davon aus, dass es sich bei ihren Vorbringen um konstruierte Handlungsabläufe handle, die sie nicht selbst erlebt hätten. Aus Sicht der Vorinstanz sei der Sachverhalt sodann vollständig erstellt und es seien keine weiteren Abklärungen nötig.</w:t>
      </w:r>
    </w:p>
    <w:p>
      <w:r>
        <w:rPr>
          <w:b/>
        </w:rPr>
        <w:t>E. 6.2</w:t>
      </w:r>
    </w:p>
    <w:p>
      <w:r>
        <w:t>Die Beschwerdeführenden hielten dem in ihrer Rechtsmitteleingabe im Wesentlichen entgegen, aufgrund von Ungereimtheiten in einzelnen Fragen dürfe nicht auf die Unglaubhaftigkeit anderer Vorbringen und Beweismittel geschlossen werden. Betreffend die vom SEM angeführten widersprüchlichen Aussagen anlässlich der zweiten Anhörung zum Anruf der Schwester der Beschwerdeführerin vom 17. Juni 2019 sei festzuhalten, dass der Beschwerdeführer seine ohnehin bereits psychisch angeschlagene Ehefrau am Abend vor der Anhörung allgemein habe trösten und beruhigen müssen. Diese sei einerseits sehr nervös gewesen wegen der Anhörung, andererseits seien sie gerade von einem Wochenaufenthalt bei ihrem im Sterben liegenden Vater zurückgekehrt. Ausserdem sei sie in ständiger Furcht vor den Konsequenzen einer allfälligen Rückkehr in den Iran, weshalb sie auch in psychiatrischer Behandlung sei. So sei es im Gespräch zwischen den Beschwerdeführenden nicht primär um den Anruf der Sicherheitskräfte gegangen. Im Übrigen habe der Beschwerdeführer aufgrund der fälschlicherweise vom SEM erwähnten Verhaftung seiner Schwiegermutter und Schwägerin unter Schock gestanden. Dass er diese Behauptung der Fachspezialistin aber nicht habe glauben können, spreche für seine Glaubhaftigkeit. Betreffend die Bereitschaft der Beschwerdeführerin, 50 christliche Bücher in den Iran einzuführen, habe sie sodann entgegen der Behauptung der Vorinstanz genau erklärt, dass sie nicht gleich eingewilligt habe, sich dann aber aufgrund der Krankheit ihres Vaters beziehungsweise einer Vereinbarung zwischen ihr und Jesus dafür entschieden habe, das Risiko auf sich zu nehmen, damit dieser ihrem Vater helfen würde. Die Bibeln seien ausserdem klein und damit leicht unter Kleidern versteckbar gewesen. Auch ihren Entscheid, Hauskirchentreffen bei sich zu Hause durchzuführen, habe die Beschwerdeführerin nachvollziehbar begründet. So habe sie helfen wollen, das Risiko für die anderen Anbieter durch Rotation zu senken. Ferner habe sie ausgeführt, dass sie ein Gefühl von Selbstbewusstsein und Hochmut gehabt habe, als sie diese Entscheidung traf und dass sie diese nun bereue und es ihr grösster Fehler gewesen sei. Dies sowie die Tatsache, dass sie die Adressen von Bruder F._______ und Bruder H._______ noch genau habe wiedergeben können, spreche für die Glaubhaftigkeit ihrer Aussagen. Dass dem Beschwerdeführer vorgehalten werde, er sei nicht in der Lage gewesen, persönliche und substantiierte Angaben zum Glaubenswechsel seiner Mutter und Schwester zu machen, sei nicht nachvollziehbar. Der Beschwerdeführer sehe die Religion als eine Privatsache und habe sich daher nicht eingemischt. Dennoch habe er die christlichen Fernsehsendungen beim Namen nennen können, was als positives Glaubhaftigkeitselement zu werden sei. Betreffend die Schilderung der Haftentlassung sei festzuhalten, dass sich die Beschwerdeführenden beide in einem sehr emotionalen Zustand befunden hätten und es daher verständlich sei, dass sie diese Erinnerung nicht bis ins Detail hätten schildern können. Bezüglich die Hauptvorbringen, namentlich die Festnahme und das hängige Gerichtsverfahren, habe die Vorinstanz eingestanden, dass die Beschwerdeführenden detailliert und ausgiebig berichtet hätten. Dennoch werde ihnen nicht geglaubt, da die Schilderungen angesichts ihres hohen Bildungsniveaus keine ausreichende Dichte an Realkennzeichen enthalten würden. Um dies zu widerlegen wurden in der Beschwerde zahlreiche Glaubhaftigkeitselemente und Realkennzeichen aufgeführt. Ferner sei der psychische und gesundheitliche Zustand zu berücksichtigen, in welchem sich die Beschwerdeführerin zum Zeitpunkt der Anhörungen befunden habe. Diese sei in psychiatrischer Behandlung und es bestehe der Verdacht auf eine posttraumatische Belastungsstörung. Zusammenfassend sei festzuhalten, dass die Beschwerdeführenden über die zentralen Vorbringen ausgiebig und detailliert berichtet hätten und keine Zweifel an ihrer persönlichen Glaubhaftigkeit hätten aufkommen lassen. Es sei auffallend, dass die von der Vorinstanz angebrachten Widersprüche vor allem Nebenschauplätze betreffen würden, während die Glaubhaftigkeit der eigentlichen Kernvorbringen in der Glaubhaftigkeitsprüfung nicht gebührend berücksichtigt worden sei. Betreffend Asylrelevanz wurde in der Beschwerde vorgebracht, dass die iranischen Behörden die organisierten Hauskirchenbewegungen als politische Opposition sehen würden, welche die nationale Sicherheit gefährdet. Führende von Hauskirchen könnten daher wegen Missionierung, Konversion, Apostasie oder illegalen Kirchenaktivitäten sowie wegen der Bildung einer Gruppe mit dem Ziel, die nationale Sicherheit zu stören, bestraft werden. Die Beschwerdeführerin sei zum Christentum konvertiert und in einer Hauskirchengruppe aktiv gewesen. Aufgrund dieser Aktivitäten sei sie bereits für zwölf Tage in Untersuchungshaft genommen und zu einer Gerichtsverhandlung vorgeladen worden, zu welcher sie nicht erschienen sei. Gemäss Vorladung werde sie der Aktivitäten gegen die nationale Sicherheit, der Verbreitung und des Predigens einer Religion ausserhalb des Islams, der Verbreitung und Aktivitäten in Bezug auf Rechte gegen den Islam und der Organisation von oppositionellen Gruppen beschuldigt. Sie habe deshalb begründete Furcht, aufgrund ihres christlichen Glaubens zu einer langjährigen Haftstrafe bis hin zu einer Hinrichtung verurteilt zu werden. Sie sei aufgrund ihrer religiösen Zugehörigkeit zum Christentum und ihrer diesbezüglichen Aktivitäten einer gezielten Verfolgung und ernsthaften Nachteilen gemäss Art. 3 AsylG ausgesetzt. Der Beschwerdeführer gelte als Mann im Iran als Familienoberhaupt und sei dafür verantwortlich, was in seiner Familienwohnung geschehe. Aufgrund der in seiner Wohnung stattgefundenen Hauskirchentreffen habe er ebenfalls begründete Furcht vor einer strafrechtlichen Verfolgung aus religiösen Motiven durch die iranischen Behörden. Ferner würden die Beschwerdeführenden auch vom Cousin der Beschwerdeführerin bedroht. Die Voraussetzungen einer asylrelevanten Verfolgung gemäss Art. 3 Abs. 1 AsylG sei damit erfüllt und den Beschwerdeführenden Asyl zu gewähren. Im Weiteren wurde mit der Beschwerde die Verletzung des rechtlichen Gehörs gerügt. So habe die Vorinstanz die eingereichten Beweismittel nur ungenügend berücksichtigt, indem sie sie lediglich aufgelistet und festgestellt habe, diese seien leicht käuflich und es handle sich lediglich um Kopien. Dies stelle eine Verletzung des rechtlichen Gehörs dar. Ferner sei den Beschwerdeführenden zu verschiedenen vom SEM angeführten Widersprüchen das rechtliche Gehör nicht gewährt worden. Weiter sei auf die Glaubhaftigkeitsprüfung der Konversion an sich verzichtet worden, da dies für sich genommen nicht asylrelevant sei. Da eine weitere Begründung fehle, habe die Vorinstanz damit die Begründungspflicht verletzt. Somit sei der Anspruch auf rechtliches Gehör gleich in mehrfacher Hinsicht verletzt worden. Die angefochtene Verfügung sei eventualiter aufzuheben und zur Neubeurteilung an die Vorinstanz zurückzuweisen.</w:t>
      </w:r>
    </w:p>
    <w:p>
      <w:r>
        <w:rPr>
          <w:b/>
        </w:rPr>
        <w:t>E. 7.1</w:t>
      </w:r>
    </w:p>
    <w:p>
      <w:r>
        <w:t>Die Vorinstanz erachtet die Vorbringen der Beschwerdeführenden gesamthaft als unglaubhaft. Dieser Einschätzung kann nicht gefolgt werden. Die Begründung der Vorinstanz vermag in den zentralen Punkten nicht zu überzeugen. Die Beschwerdeführenden haben sich in je zwei ausführlichen Anhörungen, die auf jeweils zwischen zwanzig und sechsundzwanzig Seiten protokolliert wurden, in umfassender Weise und weitgehend widerspruchsfrei zu ihren Asylvorbringen geäussert. Die vom SEM angeführten Widersprüche lassen sich grösstenteils nachvollziehbar erklären, wobei diesbezüglich auf die entsprechenden Ausführungen in der Beschwerde verwiesen werden kann. Auf den in der Verfügung als erstes und zentral sowie am ausführlichsten behandelten Widerspruch (Anruf der Sicherheitskräfte bei Mutter und Schwester der Beschwerdeführerin) ist jedoch kurz einzugehen. Das SEM hält den Beschwerdeführenden diesbezüglich insbesondere vor, dass der Beschwerdeführer den Anruf nicht erwähnte, obwohl die Beschwerdeführerin ausgesagt habe, ihm davon erzählt zu haben. Dass der Beschwerdeführer durch die Fehlinformation der Befragerin, wonach die Schwiegermutter und die Schwägerin von den Sicherheitskräften mitgenommen worden seien, offensichtlich völlig aus dem Konzept gebracht wurde, wird lediglich am Rande erwähnt. Diesbezüglich ist darauf hinzuweisen, dass der Beschwerdeführer auf die Fehlinformation erschrocken und ungläubig reagierte (act. A37 F81: «Sie wurden verhaftet und mitgenommen? Was genau ist passiert?»; F82: «Seien Sie versichert, wenn so etwas passieren würde, hätte sie mir das definitiv erzählt.»). Die Rechtsvertreterin machte später darauf aufmerksam, dass dies nicht stimme und der Beschwerdeführer aufgrund dieser Fehlinformation sehr beunruhigt gewesen sei (vgl. act. A37 F115). Die Reaktion des Beschwerdeführers kann keinesfalls als schwerwiegender Widerspruch gewertet werden, sondern weist vielmehr auf die Spontaneität und Ehrlichkeit seiner Aussagen hin, zumal er sich durch die Fehlinformation nicht hat verwirren lassen. Dass die Vorinstanz diesen Widerspruch als zentrale Begründung der Unglaubhaftigkeit der Vorbringen der Beschwerdeführenden anführt, macht stutzig. Weiter ist betreffend Widersprüche allgemein festzuhalten, dass diese tatsächlich - wie in der Beschwerde zu Recht geltend gemacht wurde - ausschliesslich Nebenschauplätze betreffen, während die Kernvorbringen widerspruchsfrei dargelegt wurden. So ist es auffallend, dass das SEM in seiner fast sechs Seiten langen Glaubhaftigkeitsprüfung lediglich auf acht Zeilen auf die Glaubhaftigkeit der Kernvorbringen eingeht, wobei festgehalten wurde, die entsprechenden Schilderungen seien detailliert und ausgiebig ausgefallen, die Dichte an Realkennzeichen würde aber angesichts des hohen Bildungsgrades der Beschwerdeführenden nicht ausreichen, um von einer überwiegenden Glaubhaftigkeit auszugehen. Eine individuelle Auseinandersetzung mit der Glaubhaftigkeit der Kernvorbringen fehlt gänzlich. Bei dieser Begründung lässt die Vorinstanz ausser Acht, dass die Anforderungen an die Glaubhaftmachung Raum für Einwände und Zweifel lassen, sofern in einer Gesamtschau die wesentlichen Umstände für die Glaubhaftigkeit der Vorbringen sprechen. Den für die Glaubhaftigkeit sprechenden Sachverhaltselementen hat die Vorinstanz aber in ihren - obschon ansonsten äusserst ausführlichen - Erwägungen wenig Raum gegeben. Davon finden sich in den Anhörungen allerdings zahlreiche. So konnten die Beschwerdeführenden, wie bereits erwähnt, ihre Vorbringen sehr ausführlich beschreiben. Die Beschwerdeführerin demonstrierte mehrfach mittels Gestik (vgl. beispielsweise vorinstanzliche Akten act. A28 F110, F114). Auch nannte sie während beiden Anhörungen immer wieder Details wie Strassennahmen, Gerüche sowie Lärm und gab verschiedene Aussagen in direkter Rede wieder. Sie konnte die Personen beschreiben, die sie festgenommen haben, wie auch die Kleidung der Befrager im Gefängnis sowie Uniformen (vgl. act. A28 F112, F70). Auch der Beschwerdeführer konnte ausführlich und detailreich aussagen. So beschrieb er den Tag, als seine Frau verhaftet wurde, sehr genau und auch die Zeit danach bis zum Zeitpunkt, als er von seiner Schwiegermutter erfahren habe, dass die Beschwerdeführerin festgenommen worden sei. Auch er nannte mehrmals genaue Personen- und Strassennahmen sowie Daten (vgl. act. A29 F67, F71). All diese Realkennzeichen sowie der Mangel an Widersprüchen betreffend die Kernvorbringen sprechen für die Glaubhaftigkeit der Aussagen der Beschwerdeführenden. Betreffend Konversion verzichtete die Vorinstanz auf eine Aussage zur Glaubhaftigkeit, da diese für sich ohnehin nicht asylrelevant sei. Auch diese wurde sodann überzeugend dargelegt. Schliesslich wurde mit der Beschwerde geltend gemacht und belegt, dass die Beschwerdeführerin ihre Glaubensüberzeugung und -betätigung in der Schweiz nahtlos fortsetzte. Nach dem Gesagten sprechen die bestehenden Sachverhaltselemente aktuell überwiegend für die Glaubhaftmachung der Asylvorbringen. Daran vermögen gewisse Zweifel und Ungereimtheiten nichts zu ändern. Jedoch ist diesbezüglich darauf hinzuweisen, dass die Beschwerdeführenden zur Untermauerung ihrer Vorbringen verschiedene Beweismittel eingereicht haben. Die Vorinstanz unterliess es, diese inhaltlich zu überprüfen, da es sich lediglich um Kopien handle. Weitere Abklärungen wurden nicht getätigt. Bei der vorliegenden Aktenlage wäre dies jedoch zu erwarten gewesen. Aufgrund der eingereichten Beweismittel sowie der Aussagen der Beschwerdeführenden, insbesondere zum Gerichtsverfahren und zu ihrem Anwalt, sind relevante Abklärungen im Herkunftsstaat möglich und wären angezeigt gewesen. Indem das SEM dies jedoch unterliess und die Vorbringen lediglich aufgrund der Anhörungen als unglaubhaft qualifizierte, hat sie den Sachverhalt nicht richtig abgeklärt und damit den Untersuchungsgrundsatz verletzt.</w:t>
      </w:r>
    </w:p>
    <w:p>
      <w:r>
        <w:rPr>
          <w:b/>
        </w:rPr>
        <w:t>E. 7.2</w:t>
      </w:r>
    </w:p>
    <w:p>
      <w:r>
        <w:t>Angesichts der einzuräumenden Fristen für die Besorgung allfälliger Beweise aus dem Ausland (vgl. Art. 8 Abs. 1 AsylG) oder für die Durchführung einer Botschaftsanfrage wäre es insgesamt angezeigt gewesen, das Asylgesuch im erweiterten Verfahren zu behandeln, statt es im Rahmen der Fristen für die Behandlung von beschleunigten Verfahren zu beurteilen. Die neuen Behandlungsfristen entbinden die Vorinstanz auch weiterhin nicht davon, den Sachverhalt vollständig und richtig abzuklären. Bei einem Verfahren wie dem vorliegenden, bei welchem die ausführlich und detailliert vorgebrachten Kernvorbringen durch Beweismittel gestützt wurden, wäre die Vorinstanz gehalten gewesen, im Rahmen des erweiterten Verfahrens weitere Abklärungen zu den Vorbringen der Beschwerdeführenden vorzunehmen.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8.2</w:t>
      </w:r>
    </w:p>
    <w:p>
      <w:r>
        <w:t>Im vorliegenden Fall ist die Sache an die Vorinstanz zurückzuweisen, zumal - wie bereits erwähnt - die Erstellung des Sachverhalts weiterer Abklärungen bedarf und diese den Rahmen des Beschwerdeverfahrens - insbesondere auch unter Berücksichtigung der vorgesehenen Behandlungsfrist von zwanzig Tagen (vgl. Art. 109 Abs. 1 AsylG) - sprengen würde. Angesichts der Rückweisung der Sache erübrigt sich eine Auseinandersetzung mit den weiteren Vorbringen auf Beschwerdeebene und den dem Gericht zu den Akten gereichten Beweismitteln. Das Beschwerdedossier wird nämlich ebenfalls Gegenstand des wiederaufzunehmenden erstinstanzlichen Verfahrens sein und das SEM wird sich damit zu befassen haben.</w:t>
      </w:r>
    </w:p>
    <w:p>
      <w:r>
        <w:rPr>
          <w:b/>
        </w:rPr>
        <w:t>E. 8.3</w:t>
      </w:r>
    </w:p>
    <w:p>
      <w:r>
        <w:t>Nach dem Gesagten ist die Beschwerde insofern gutzuheissen, als die vorinstanzliche Verfügung aufzuheben und zur erneuten Beurteilung im Sinne der Erwägungen an die Vorinstanz zurückzuweisen ist.</w:t>
      </w:r>
    </w:p>
    <w:p>
      <w:r>
        <w:rPr>
          <w:b/>
        </w:rPr>
        <w:t>E. 9</w:t>
      </w:r>
    </w:p>
    <w:p>
      <w:r>
        <w:t>Bei diesem Ausgang des Verfahrens sind keine Kosten zu erheben (Art. 63 Abs. 1 und 2 VwVG). Damit wird das Gesuch um Gewährung der unentgeltlichen Prozessführung (inkl. Verzicht auf die Erhebung eines Kostenvorschusses) gegenstandslos.</w:t>
      </w:r>
    </w:p>
    <w:p>
      <w:r>
        <w:rPr>
          <w:b/>
        </w:rPr>
        <w:t>E. 10</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