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D-3500/2020 vom 24. Juni 2021</w:t>
      </w:r>
    </w:p>
    <w:p>
      <w:r>
        <w:t>Bundesverwaltungsgericht, 2021-06-24, DE</w:t>
      </w:r>
    </w:p>
    <w:p>
      <w:r>
        <w:rPr>
          <w:b/>
        </w:rPr>
        <w:t xml:space="preserve">Quelle: </w:t>
      </w:r>
      <w:r>
        <w:t>https://mcp.opencaselaw.ch/entscheid/bvger_D-3500_2020</w:t>
      </w:r>
    </w:p>
    <w:p>
      <w:r>
        <w:t>FR: TAF D-3500/2020 du 24 juin 2021</w:t>
      </w:r>
    </w:p>
    <w:p>
      <w:r>
        <w:t>IT: TAF D-3500/2020 del 24 giugno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Asyls nach Art. 106 Abs. 1 AsylG, im Bereich des Ausländerrechts nach Art. 49 VwVG (vgl. BVGE 2014/26 E. 5).</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Es wurde auf einen Schriftenwechsel verzichtet (Art. 111a Abs. 1 und 2 AsylG).</w:t>
      </w:r>
    </w:p>
    <w:p>
      <w:r>
        <w:rPr>
          <w:b/>
        </w:rPr>
        <w:t>E. 4.1</w:t>
      </w:r>
    </w:p>
    <w:p>
      <w:r>
        <w:t>In der Beschwerde werden formelle Rüge erhoben, welche vorab zu beurteilen sind, da sie gegebenenfalls geeignet sind, eine Kassation der vorinstanzlichen Verfügung zu bewirken. Der Beschwerdeführer rügt eine Verletzung des Anspruchs auf rechtliches Gehör sowie sinngemäss eine Verletzung der Pflicht zur vollständigen und richtigen Abklärung des rechtserheblichen Sachverhaltes.</w:t>
      </w:r>
    </w:p>
    <w:p>
      <w:r>
        <w:rPr>
          <w:b/>
        </w:rPr>
        <w:t>E. 4.2</w:t>
      </w:r>
    </w:p>
    <w:p>
      <w:r>
        <w:t>Die Rüge der Verletzung des Anspruchs auf rechtliches Gehör ist unbegründet. Der Beschwerdeführer hält fest, dass der Rechtsvertretung die Akten der Vorinstanz trotz Akteneinsichtsgesuch vom 22. Juni 2020 bis zur Erstellung der Beschwerdeschrift nicht zugestellt worden seien. Er behalte sich die Einreichung einer Beschwerdeergänzung vor. Die Akten wurden zwar spät zugestellt, jedoch machte der Beschwerdeführer bis heute keinen Gebrauch einer Beschwerdeergänzung. Im Übrigen wurden dem Beschwerdeführer die Akten zusammen mit der angefochtenen Verfügung zugestellt (vgl. SEM Verfügung, S. 8 [Beilagen]). In der Beschwerde wurden denn auch aus den der Rechtsvertretung offenbar vorliegenden Anhörungsakten zitiert. Eine Gehörsverletzung ist nicht ersichtlich.</w:t>
      </w:r>
    </w:p>
    <w:p>
      <w:r>
        <w:rPr>
          <w:b/>
        </w:rPr>
        <w:t>E. 4.3</w:t>
      </w:r>
    </w:p>
    <w:p>
      <w:r>
        <w:t>Die sinngemässe Rüge der Verletzung der Pflicht zur vollständigen und richtigen Abklärung des rechtserheblichen Sachverhaltes ist ebenfalls unbegründet. Der Beschwerdeführer vermengt die sich aus dem Untersuchungsgrundsatz ergebende Frage der Feststellung des rechtserheblichen Sachverhaltes mit der Frage der rechtlichen Würdigung der Sache, welche die materielle Entscheidung über die vorgebrachten Asyl- und Wegweisungsgründe betrifft. Alleine der Umstand, dass der Beschwerdeführer die Auffassung und Schlussfolgerungen der Vorinstanz nicht teilt, stellt mithin keine unrichtige beziehungsweise unvollständige Sachverhaltsfeststellung dar.</w:t>
      </w:r>
    </w:p>
    <w:p>
      <w:r>
        <w:rPr>
          <w:b/>
        </w:rPr>
        <w:t>E. 4.4</w:t>
      </w:r>
    </w:p>
    <w:p>
      <w:r>
        <w:t>Nach dem Gesagten besteht keine Veranlassung, die angefochtene Verfügung aus formellen Gründen aufzuheben und die Sache an die Vorinstanz zurückzuweisen. Der entsprechende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6.1</w:t>
      </w:r>
    </w:p>
    <w:p>
      <w:r>
        <w:t>Die Vorinstanz gelangt in der angefochtenen Verfügung zum Schluss, die Vorbringen des Beschwerdeführers hielten den Anforderungen an die Flüchtlingseigenschaft gemäss Art. 3 AsylG nicht stand. Im Einzelnen hält sie fest, dass der Beschwerdeführer im Zusammenhang mit dem ersten Mord eines mit ihm befreundeten CID-Beamten von den Behörden (...) einvernommen worden sei. Danach habe er keine Probleme behördlicherseits mehr gehabt. Ferner seien im Jahr 2006 (vier Jahre nach seiner Ausreise) an seiner Stelle seine Brüder wegen des zweiten Mordes aus dem Jahr 2003 eines weiteren befreundeten CID-Beamten befragt worden. Seine Brüder hätten aktuell ebenfalls keine Probleme mit den heimatlichen Behörden. Sie seien auch trotz des unüblichen Befragungsorts folgenlos entlassen worden, weshalb die Einschätzung des Beschwerdeführers, sie hätten getötet werden sollen, eine reine Mutmassung sei. Die Befürchtung vor einer asylrelevanten Verfolgung bei einer Rückkehr nach Sri Lanka sei ferner unbegründet. Er selbst habe gemäss eigenen Angaben nichts mit den LTTE zu tun. Dass (...) seiner Kollegen nach seiner Ausreise den LTTE beigetreten seien, ändere daran nichts, zumal er bei einer allfälligen Befragung seine Abwesenheit mit den Asylentscheiden aus Frankreich und der Schweiz beweisen könnte. Im Weiteren würden seine tamilische Ethnie sowie die achtzehnjährige Landesabwesenheit nach herrschender Praxis nicht ausreichen, um von Verfolgungsmassnahmen bei seiner Rückkehr auszugehen. Vielmehr würden die sri-lankischen Kontrollmassnahmen (Registrierung, Erfassung der Identität, Überwachung von Aktivitäten) bei einer Rückkehr voraussichtlich kein asylrelevantes Ausmass annehmen. Zum jetzigen Zeitpunkt gebe es auch keinen Anlass zur Annahme, dass ganze Volks- oder Berufsgruppen unter Präsident Gotabaya Rajapaksak kollektiv einer Verfolgungsgefahr ausgesetzt wären. Ein persönlicher Bezug zu den Präsidentschaftswahlen bestehe ebenfalls nicht.</w:t>
      </w:r>
    </w:p>
    <w:p>
      <w:r>
        <w:rPr>
          <w:b/>
        </w:rPr>
        <w:t>E. 6.2</w:t>
      </w:r>
    </w:p>
    <w:p>
      <w:r>
        <w:t>Dem hält der Beschwerdeführer in seiner Rechtsmitteleingabe - unter Wiederholung des Sachverhaltes - im Wesentlichen entgegen, dass er nebst dem Mordverdacht aufgrund der angespannten Situation in Sri Lanka (Machtkämpfe zwischen verschiedenen tamilischen Gruppierungen) und deren unklaren Entwicklung um sein Leben gefürchtet habe. Zu den (...) Befragungen bei der CID sei er durch ein Mitglied der Partei Tamil Eelam Liberation Organisation (TELO) begleitet worden. Die Partei habe sich aber wegen der LTTE zurückgezogen und er habe befürchtet, bei einer weiteren Befragung keine Begleitung resp. keinen Schutz der Partei mehr in Anspruch nehmen zu können. Im (...) 2002 sei er aus Sri Lanka geflohen. Seine Brüder seien im (...) 2006 von Sicherheitskräften festgenommen und in einem Armee-Camp nach ihm befragt worden. Sie hätten sie umbringen wollen. Die Mutter des Beschwerdeführers habe mit Hilfe der «Sri Lanka Monitoring Mission» (SLMM) erfolgreich gegen die Festnahme interveniert. Im (...) 2006 sei bei der Familie erneut nach ihm gefragt worden. Wiederum mit Hilfe der SLMM sei es der Familie gelungen, Ruhe vor den Behörden zu erwirken. Personen, welche wie er unter Verdacht stünden, mit der LTTE in Verbindung zu stehen oder gestanden zu haben, würden einer erhöhten Verfolgungsgefahr unterliegen. Aufgrund seiner langjährigen Abwesenheit würde man ihn verdächtigen, die LTTE vom Ausland her unterstützt zu haben. Es habe eine Vorverfolgung gegeben und es bestehe begründete Furcht vor künftiger Verfolgung. Es seien aufgrund der Wahl des neuen Präsidenten Gotayaba Rajapaksa mögliche Folter, Inhaftierung oder andere unmenschliche Behandlungen für zurückgeschaffte, abgewiesene Asylsuchende aus der Schweiz nicht auszuschliessen und es fehle an einem Schutzwillen des sri-lankischen Staates.</w:t>
      </w:r>
    </w:p>
    <w:p>
      <w:r>
        <w:rPr>
          <w:b/>
        </w:rPr>
        <w:t>E. 7.1</w:t>
      </w:r>
    </w:p>
    <w:p>
      <w:r>
        <w:t>Das Bundesverwaltungsgericht gelangt nach Prüfung der Akten zum Schluss, dass die Vorinstanz zutreffend festgehalten hat, die Vorbringen des Beschwerdeführers genügten den Anforderungen an die Flüchtlingseigenschaft im Sinne von Art. 3 AsylG nicht. Auf die betreffenden Ausführungen in der angefochtenen Verfügung kann mit den nachfolgenden Ergänzungen verwiesen werden. Die Ausführungen auf Beschwerdeebene halten dem nichts Stichhaltiges entgegen.</w:t>
      </w:r>
    </w:p>
    <w:p>
      <w:r>
        <w:rPr>
          <w:b/>
        </w:rPr>
        <w:t>E. 7.2</w:t>
      </w:r>
    </w:p>
    <w:p>
      <w:r>
        <w:t>Die Vorinstanz hat hinsichtlich der Fluchtvorbringen - ungeachtet der Frage ihrer Glaubhaftigkeit - in ihrer Verfügung eingehend dargelegt, welche Gründe auf die fehlende Asylrelevanz schliessen lassen. Diesbezüglich findet auf Beschwerdeebene keine argumentative Auseinandersetzung mit den Überlegungen der Vorinstanz statt. Ergänzend ist festzuhalten, dass es sich bei der Befragung des Beschwerdeführers im Rahmen der Morduntersuchung von befreundeten Polizeibeamten eher um eine legitime strafprozessuale Massnahme handeln dürfte, als um ein Indiz für staatliche Verfolgungsabsicht oder einen Mordverdacht. Zur Vermeidung von Wiederholungen kann auf die diesbezüglich zutreffenden Erwägungen der Vorinstanz verwiesen werden. Diese sind ohne weiteres vollumfänglich zu bestätigen (vgl. SEM Entscheid, S. 3 - 5).</w:t>
      </w:r>
    </w:p>
    <w:p>
      <w:r>
        <w:rPr>
          <w:b/>
        </w:rPr>
        <w:t>E. 7.3</w:t>
      </w:r>
    </w:p>
    <w:p>
      <w:r>
        <w:t>Es bleibt zu prüfen, ob der Beschwerdeführer im Fall seiner Rückkehr nach Sri Lanka aus anderen Gründen als den geltend gemachten Vorfluchtgründen flüchtlingsrechtlich relevante Verfolgungsmassnahmen zu befürchten hätte. 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typischerweise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bestrebt zu sein, den tamilischen Separatismus wiederaufleben zu lassen (vgl. a.a.O. E. 8.5.1). Der Beschwerdeführer bringt nicht vor, politisch aktiv gewesen zu sein oder sich regimekritisch betätigt zu haben oder als Befürworter des tamilischen Separatismus in Erscheinung getreten zu sein. Er war gemäss eigenen Angaben nie Mitglied der LTTE und hat diese Organisation in keiner Weise konkret unterstützt. Wie die Vorinstanz in ihren Erwägungen zutreffend erläutert, ist aufgrund des Beitritts (...) Freunde zur LTTE während seiner Landesabwesenheit nicht von einer nahen Verbindung seinerseits zu dieser Organisation auszugehen. Es ist auch unwahrscheinlich, dass er deswegen bei einer Rückkehr nach Sri Lanka ernsthafte Nachteile zu gewärtigen hätte. Dies gilt auch unter Berücksichtigung der langen Abwesenheit des Beschwerdeführers. Aus Europa respektive der Schweiz nach Sri Lanka zurückkehrende tamilische Asylsuchende sind ferner nicht per se einer ernstzunehmenden Gefahr ausgesetzt,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Es ist aufgrund der Aktenlage nicht davon auszugehen, dass der Beschwerdeführer in Sri Lanka einschlägig registriert wäre oder gar auf einer Fahndungsliste der heimatlichen Behörden stünde und im Falle seiner Rückkehr einer erhöhten Verfolgungsgefahr ausgesetzt wäre.</w:t>
      </w:r>
    </w:p>
    <w:p>
      <w:r>
        <w:rPr>
          <w:b/>
        </w:rPr>
        <w:t>E. 7.4</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Der Beschwerdeführer ergänzt seinen Sachverhaltsvortrag auf Beschwerdeebene um Erläuterungen zu den genannten Präsidentschaftswahlen sowie zur diesbezüglichen Lage Sri Lankas (Beschwerde, S. 5 ff.). Das Bundesverwaltungsgericht ist sich oben ausgeführter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aus den Akten nicht ersichtlich und wurde vom Beschwerdeführer auch nicht dargetan.</w:t>
      </w:r>
    </w:p>
    <w:p>
      <w:r>
        <w:rPr>
          <w:b/>
        </w:rPr>
        <w:t>E. 7.5</w:t>
      </w:r>
    </w:p>
    <w:p>
      <w:r>
        <w:t>Sodenn gilt der sri-lankische Staat - entgegen der auf Beschwerdeebene vertretenen Auffassung - gemäss der Rechtsprechung des Bundesverwaltungsgerichts bei nichtstaatlicher Verrfolgung auch gegenüber Minderheiten wie der muslimischen und tamilischen Bevölkerung als schutzwillig und schutzfähig (vgl. Urteile des BVGer E-557/2017 vom 17. Juli 2019 E. 6.2, D-2475/2018 vom 24. Juli 2018 E. 6.2.2, E-4792/2017 vom 18. September 2017 E. 6.1).</w:t>
      </w:r>
    </w:p>
    <w:p>
      <w:r>
        <w:rPr>
          <w:b/>
        </w:rPr>
        <w:t>E. 7.6</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und denjenigen der Freiplatzaktion Basel in der Beschwerdebeilage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hindeutete,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Vorliegend sprechen auch keine individuellen Gründe gegen die Zumutbarkeit des Wegweisungsvollzugs. Der Beschwerdeführer ist heute vierzig Jahre alt und gesund. Er habe stets in Nordprovinzen Sri Lankas gelebt (1981 bis 1991 in Poonkuduthivu, bis 1994 in Navakuni, zeitweise in Killinochi und Mankulam, 1996 bis zur Ausreise aus Sri Lanka im (...) 2002 in Vavuniya, Nelukulam). Der Vollzug in seine Herkunftsregion ist im Lichte der Rechtsprechung grundsätzlich zumutbar. Der Beschwerdeführer verfügt über sieben Jahre Schulbildung und führte drei Jahre lang einen eigenen kleinen Lebensmittelladen. Mit seinen Brüdern, seiner Schwester und Mutter sowie anderen Verwandten verfügt er im Heimatland zudem über ein soziales Beziehungsnetz. Es ist somit davon auszugehen, dass sich der Beschwerdeführer in seiner Heimat wieder integrieren und auf ein tragfähiges Beziehungsnetz zurückgreifen kann, welches ihn nach einer Rückkehr im Bedarfsfall unterstützen kann.</w:t>
      </w:r>
    </w:p>
    <w:p>
      <w:r>
        <w:rPr>
          <w:b/>
        </w:rPr>
        <w:t>E. 9.4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w:t>
      </w:r>
    </w:p>
    <w:p>
      <w:r>
        <w:rPr>
          <w:b/>
        </w:rPr>
        <w:t>E. 9.5</w:t>
      </w:r>
    </w:p>
    <w:p>
      <w:r>
        <w:t>Die Vorinstanz hat den Vollzug demnach zu Recht als zulässig, zumutbar und möglich erachtet. Damit fällt die Anordnung der vorläufigen Aufnahme ausser Betracht (Art. 83 Abs. 1-4 AIG).</w:t>
      </w:r>
    </w:p>
    <w:p>
      <w:r>
        <w:rPr>
          <w:b/>
        </w:rPr>
        <w:t>E. 10</w:t>
      </w:r>
    </w:p>
    <w:p>
      <w:r>
        <w:t>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750.00 festzusetzen (Art. 1-3 des Reglements vom 21. Februar 2008 über die Kosten und Entschädigungen vor dem Bundesverwaltungsgericht [VGKE, SR 173.320.2]). Der einbezahlte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