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D-3497/2024 vom 28. Mai 2024</w:t>
      </w:r>
    </w:p>
    <w:p>
      <w:r>
        <w:t>Bundesverwaltungsgericht, 2024-05-28, IT</w:t>
      </w:r>
    </w:p>
    <w:p>
      <w:r>
        <w:rPr>
          <w:b/>
        </w:rPr>
        <w:t xml:space="preserve">Quelle: </w:t>
      </w:r>
      <w:r>
        <w:t>https://mcp.opencaselaw.ch/entscheid/bvger_D-3497_2024_d20240528</w:t>
      </w:r>
    </w:p>
    <w:p>
      <w:r>
        <w:t>FR: TAF D-3497/2024 du 28 mai 2024</w:t>
      </w:r>
    </w:p>
    <w:p>
      <w:r>
        <w:t>IT: TAF D-3497/2024 del 28 maggio 2024</w:t>
      </w:r>
    </w:p>
    <w:p>
      <w:pPr>
        <w:pStyle w:val="Heading2"/>
      </w:pPr>
      <w:r>
        <w:t>Regeste</w:t>
      </w:r>
    </w:p>
    <w:p>
      <w:r>
        <w:t>Asilo e allontanamento (art. 40 in relazione all'art. 6a cpv. 2 LAsi) | Asilo e allontanamento (art. 40 in relazione all'art. 6a cpv. 2 LAsi); decisione della SEM del 28 maggio 2024</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28</w:t>
      </w:r>
    </w:p>
    <w:p>
      <w:r>
        <w:t>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tante altre anche sentenza del Tribunale D-76/2023 del 13 gennaio 2023 pag. 5), che in una pari eventualità, le autorità d’asilo sono di principio tenute a verificare unicamente l’effettività della protezione offerta da parte dello Stato d’origine (cfr. DTF 138 II 513 consid. 7.3), che inoltre, nel caso in cui lo Stato d’origine sia stato designato come sicuro ai sensi dell’art. 6a cpv. 2 lett. a LAsi, esiste una presunzione legale di protezione contro i pregiudizi da parte di terze entità (cfr. DTF 138 II 513 consid. 7.3), che il Consiglio federale ha inserito la Serbia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serbe, che, secondo la prassi, l’effettiva protezione nel Paese d’origine non è d’altro canto da intendersi quale garanzia di protezione individuale a lungo termine contro persecuzioni non-statali; che nessuno Stato ha la capacità di garantire ovunque e in qualunque momento l’assoluta sicurezza ai propri</w:t>
      </w:r>
    </w:p>
    <w:p>
      <w:r>
        <w:t>D-3497/2024 Pagina 8 cittadini; che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cfr. tra le altre anche la sentenza del Tribunale D-3015/2022 del 19 luglio 2022 consid. 8.2), che, nel caso in esame, il ricorrente non è stato in grado di fornire elementi concreti a sostegno dell’asserita incapacità e/o non volontà di protezione da parte delle autorità serbe; che, del resto, come già sopraesposto, le allegazioni del ricorrente relative ai suoi rapporti con le autorità statali sono state ritenute inverosimili ai sensi dell’art. 7 LAsi, che, per questi motivi, non vi sono gli estremi per dedurre un’impossibilità generalizzata di far capo alla protezione statale,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w:t>
      </w:r>
    </w:p>
    <w:p>
      <w:r>
        <w:t>D-3497/2024 Pagina 9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casi straordinari e di estrema gravità (cfr. tra le altre DTAF 2009/2 consid. 9.1.2- 9.1.6),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con decisione del 25 ottobre 2017, la quale produce effetto dal 1° gennaio 2018, il Consiglio federale ha designato la Serbia come Stato verso cui il ritorno è di norma ragionevolmente esigibile (art. 83 cpv. 5 LStrI e art. 18 dell’Ordinanza concernente l’esecuzione dell’allontanamento e dell’espulsione di stranieri dell’11 agosto 1999 [OEAE, RS.142.281]),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intendono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w:t>
      </w:r>
    </w:p>
    <w:p>
      <w:r>
        <w:t>D-3497/2024 Pagina 10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dagli atti presenti all’incarto emerge che il ricorrente assume farmaci contro il dolore e che soffre di stress ed insonnia, che il Tribunale parte dal presupposto, in linea con la sua prassi, che in Serbia esista un’adeguata assistenza sanitaria di base – compresa la cura delle malattie mentali – e che l’accesso ad essa sia garantito (cfr. tra le tante la sentenza del Tribunale D-4627/2019 del 19 settembre 2019 consid. 8.3.3 e la sentenza del Tribunale E-7219/2015 del 27 aprile 2016 consid. 7.4.3); che le problematiche sopra descritte non permettono dunque di concludere che in caso di allontanamento in Serbia lo stato di salute dell’interessato si degraderebbe a tal punto da condurlo in maniera certa ad una messa in pericolo concreta della vita o ad un pregiudizio serio, durevole e notevolmente più grave della sua integrità fisica; che il ricorrente non ha apportato alcuna prova atta a convincere il Tribunale del contrario, che nemmeno la situazione personale dell’interessato giustifica una diversa valutazione del caso; che egli possiede un diploma di meccanico di automobili e vanta esperienza lavorativa quale operaio edile; che, così stando le cose, nulla permette di concludere, anche tenuto conto della sua età avanzata, quanto al fatto che egli non riuscirebbe a reintegrarsi nel suo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w:t>
      </w:r>
    </w:p>
    <w:p>
      <w:r>
        <w:t>D-3497/2024 Pagina 11 che avendo il Tribunale statuito nel merito del ricorso, la domanda di esenzione dal versamento di un anticipo equivalente alle presunte spese processuali è divenuta senza oggetto, che infine, ritenute le allegazioni ricorsuali sprovviste di probabilità di esito favorevole, la domanda di assistenza giudiziaria, nel senso della dispensa dal versamento delle spese processuali, è respinta (art. 65 cpv. 1 PA), che visto l’esito della procedura le spese processuali di CHF 750.– che seguono la soccombenza sono poste a carico del ricorrente (art. 63 cpv. 1 e 5 PA nonché art. 3 lett. b del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LTF),</w:t>
      </w:r>
    </w:p>
    <w:p>
      <w:r>
        <w:t>(dispositivo alla pagina seguente)</w:t>
      </w:r>
    </w:p>
    <w:p>
      <w:r>
        <w:t>D-3497/2024 Pagina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