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D-3489/2016 vom 13. Juni 2016</w:t>
      </w:r>
    </w:p>
    <w:p>
      <w:r>
        <w:t>Bundesverwaltungsgericht, 2016-06-13, DE</w:t>
      </w:r>
    </w:p>
    <w:p>
      <w:r>
        <w:rPr>
          <w:b/>
        </w:rPr>
        <w:t xml:space="preserve">Quelle: </w:t>
      </w:r>
      <w:r>
        <w:t>https://mcp.opencaselaw.ch/entscheid/bvger_D-3489_2016</w:t>
      </w:r>
    </w:p>
    <w:p>
      <w:r>
        <w:t>FR: TAF D-3489/2016 du 13 juin 2016</w:t>
      </w:r>
    </w:p>
    <w:p>
      <w:r>
        <w:t>IT: TAF D-3489/2016 del 13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den Antrag, es sei der Beschwerdeführerin Asyl zu gewähren,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der Beschwerdeführerin mit der «Eurodac»-Datenbank ergab, dass diese am 22. Februar 2011 in Frankreich ein Asylgesuch eingereicht hatte. Das SEM ersuchte deshalb die französischen Behörden am 17. Mai 2016 um Wiederaufnahme der Beschwerdeführerin gestützt auf Art. 23 oder 24 Dublin-III-VO. Die französischen Behörden stimmten dem Gesuch um Übernahme am 24. Mai 2016 zu. Die Beschwerdeführerin bestreitet nicht, in Frankreich ein Asylgesuch eingereicht zu haben, und auch die grundsätzliche Zuständigkeit dieses Mitgliedstaates blieb unbestritten. Die grundsätzliche Zuständigkeit Frankreichs ist somit gegeben.</w:t>
      </w:r>
    </w:p>
    <w:p>
      <w:r>
        <w:rPr>
          <w:b/>
        </w:rPr>
        <w:t>E. 4.2</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4.2.1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Unter diesen Umständen ist die Anwendung von Art. 3 Abs. 2 Dublin-III-VO nicht gerechtfertigt.</w:t>
      </w:r>
    </w:p>
    <w:p>
      <w:r>
        <w:rPr>
          <w:b/>
        </w:rPr>
        <w:t>E. 4.2.3</w:t>
      </w:r>
    </w:p>
    <w:p>
      <w:r>
        <w:t>Die Beschwerdeführerin fordert mit ihrem Vorbringen, sie könne aus medizinischen Gründen nicht allein leben und sei auf die Hilfe ihres in der Schweiz lebenden Sohnes angewiesen,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4.2.4</w:t>
      </w:r>
    </w:p>
    <w:p>
      <w:r>
        <w:t>Die Beschwerdeführerin hat kein konkretes und ernsthaftes Risiko dargetan, die französischen Behörden würden sich weigern, sie wieder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Frankreich seien derart schlecht, dass sie zu einer Verletzung von Art. 4 der EU-Grundrechtecharta, Art. 3 EMRK oder Art. 3 FoK führen könnten. Es liegen keine Hinweise dafür vor, dass die Behandlung ihres Asylgesuchs mangelhaft gewesen sein könnte.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Vorliegend führt die Überstellung der Beschwerdeführerin nach Frankreich gemäss Akten nicht zu einer Kettenabschiebung, welche gegen das Non-Refoulement-Prinzip verstossen würde, wie es in Art. 33 FK verankert ist (und sich ausserdem aus Art. 4 der EU-Grundrechtecharta, Art. 3 EMRK oder Art. 3 FoK ableiten lässt). Die Beschwerdeführerin hat auch keine konkreten Hinweise für die Annahme dargetan, Frankreich würde ihr dauerhaft die ihr gemäss Aufnahmerichtlinie zustehenden minimalen Lebensbedingungen vorenthalten. Bei einer allfälligen vorübergehenden Einschränkung könnte sie sich im Übrigen nötigenfalls an die französischen Behörden wenden und die ihr zustehenden Aufnahmebedingungen auf dem Rechtsweg einfordern (vgl. Art. 26 Aufnahmerichtlinie).</w:t>
      </w:r>
    </w:p>
    <w:p>
      <w:r>
        <w:rPr>
          <w:b/>
        </w:rPr>
        <w:t>E. 4.2.5</w:t>
      </w:r>
    </w:p>
    <w:p>
      <w:r>
        <w:t>Die Beschwerdeführerin beruft sich darauf, ihr Gesundheitszustand stehe einer Überstellung entgegen. Damit macht sie sinngemäss geltend, die Überstellung nach Frankreich setze sie einer Gefahr für ihre Gesundheit aus und könnte damit Art. 3 EMRK verletzen.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Die 59-jährige Be­schwerdeführerin konnte nicht nachweisen, dass sie nicht reisefähig sei oder eine Überstellung ihre Gesundheit ernsthaft gefährden würde. Bei der BzP gab sie an, eine ihrer Herzklappen sei zweimal ersetzt worden, letztmals im Jahr 1991. Seither habe sie keine Herzbeschwerden mehr. Vor einem Jahr habe sie sich in Frankreich während etwa eines Monats in Spitalpflege begeben müssen. Zur Frage nach gesundheitlichen Beeinträchtigungen sagte sie, es gehe ihr gut. Ihr Gesundheitszustand vermag eine Unzulässigkeit im Sinne dieser restriktiven Rechtsprechung somit nicht zu rechtfertigen. Die gesundheitlichen Probleme sind auch nicht von einer derartigen Schwere, dass aus humanitären Gründen von einer Überstellung abgesehen werden müsste. Im Übrigen ist allgemein bekannt, dass Frankreich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Beschwerdeführerin Rechnung tragen und die französischen Behörden vorgängig in geeigneter Weise über die spezifischen medizinischen Umstände informieren (vgl. Art. 31 f. Dublin-III-VO). Das SEM hat in der angefochtenen Verfügung berechtigterweise festgehalten, dass die Anwesenheit des Sohnes der Beschwerdeführerin in der Schweiz nicht zum Selbsteintritt führen muss, da volljährige Kinder nicht als Familienangehörige im Sinn von Art. 2 Bst. g Dublin-III-VO gelten. Hinweise auf ein besonderes Abhängigkeitsverhältnis der Beschwerdeführerin zu ihrem Sohn liegen nicht vor, konnte sie doch in Frankreich bei Bekannten leben, die sich um sie kümmerten. Ihr Sohn kann sie von der Schweiz aus allenfalls finanziell unterstützen und auch persönlich zu ihr Kontakt pflegen. Es ist nicht ersichtlich, inwiefern sie dauernd auf die Anwesenheit beziehungsweise Betreuung durch ihren Sohn angewesen wäre.</w:t>
      </w:r>
    </w:p>
    <w:p>
      <w:r>
        <w:rPr>
          <w:b/>
        </w:rPr>
        <w:t>E. 4.2.6</w:t>
      </w:r>
    </w:p>
    <w:p>
      <w:r>
        <w:t>Soweit die Beschwerdeführerin sinngemäss das Vorliegen von "humanitären Gründen" geltend macht, ist Folgendes festzuhalten:</w:t>
      </w:r>
    </w:p>
    <w:p>
      <w:r>
        <w:rPr>
          <w:b/>
        </w:rPr>
        <w:t>E. 4.2.6.1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4.2.6.2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4.2.7</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4.3</w:t>
      </w:r>
    </w:p>
    <w:p>
      <w:r>
        <w:t>Somit bleibt Frankreich der für die Behandlung des Asylgesuchs der Beschwerdeführerin zuständige Mitgliedstaat gemäss Dublin-III-VO. Frankreich ist verpflichtet, das Asylverfahren gemäss Art. 23, 24, 25 und 29 wiederaufzunehmen.</w:t>
      </w:r>
    </w:p>
    <w:p>
      <w:r>
        <w:rPr>
          <w:b/>
        </w:rPr>
        <w:t>E. 5</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Frankreich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7</w:t>
      </w:r>
    </w:p>
    <w:p>
      <w:r>
        <w:t>Nach dem Gesagten ist die Beschwerde abzuweisen, soweit darauf einzutreten ist und die Verfügung des SEM zu bestätigen.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