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D-3481/2022 vom 31. Oktober 2022</w:t>
      </w:r>
    </w:p>
    <w:p>
      <w:r>
        <w:t>Bundesverwaltungsgericht, 2022-10-31, DE</w:t>
      </w:r>
    </w:p>
    <w:p>
      <w:r>
        <w:rPr>
          <w:b/>
        </w:rPr>
        <w:t xml:space="preserve">Quelle: </w:t>
      </w:r>
      <w:r>
        <w:t>https://mcp.opencaselaw.ch/entscheid/bvger_D-3481_2022</w:t>
      </w:r>
    </w:p>
    <w:p>
      <w:r>
        <w:t>FR: TAF D-3481/2022 du 31 octobre 2022</w:t>
      </w:r>
    </w:p>
    <w:p>
      <w:r>
        <w:t>IT: TAF D-3481/2022 del 31 ottobre 2022</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D-3481/2022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macht der Beschwerdeführer zunächst geltend, die dolmetschende Person habe seine Aussagen anlässlich der Anhörung un- zutreffend übersetzt. Diese Rüge zielt sinngemäss auf eine Geltendma- chung einer Verletzung des Anspruchs auf rechtliches Gehör und des Un- tersuchungsgrundsatzes ab.</w:t>
      </w:r>
    </w:p>
    <w:p>
      <w:r>
        <w:rPr>
          <w:b/>
        </w:rPr>
        <w:t>E. 3.1.1</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3.1.2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Behörde hat alle sach- und entscheidwesentlichen Tatsachen und Ergebnisse in den</w:t>
      </w:r>
    </w:p>
    <w:p>
      <w:r>
        <w:t>D-3481/2022 Seite 6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 den.</w:t>
      </w:r>
    </w:p>
    <w:p>
      <w:r>
        <w:rPr>
          <w:b/>
        </w:rPr>
        <w:t>E. 3.1.3</w:t>
      </w:r>
    </w:p>
    <w:p>
      <w:r>
        <w:t>Aus dem Anhörungsprotokoll ist ersichtlich, dass der Beschwerdefüh- rer angab, die dolmetschende Person gut zu verstehen (vgl. SEM-eAkte […]-38/15 [nachfolgend 38/15] F1). Den Protokollen sind auch sonst keine Anhaltspunkte zu entnehmen, welche auf Missverständnisse, Verständi- gungsprobleme oder Übersetzungsfehler schliessen lassen würden. Im Übrigen haben weder der Beschwerdeführer selbst noch sein Rechtsver- treter auf Verständigungsprobleme aufmerksam gemacht. Das Gericht stellt fest, dass die diesbezügliche Rüge als blosse Parteibehauptung un- begründet erscheint; eine Verletzung des rechtlichen Gehörs oder des Un- tersuchungsgrundsatzes sind nicht ersichtlich.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D-3481/2022 Seite 7</w:t>
      </w:r>
    </w:p>
    <w:p>
      <w:r>
        <w:rPr>
          <w:b/>
        </w:rPr>
        <w:t>E. 5.1</w:t>
      </w:r>
    </w:p>
    <w:p>
      <w:r>
        <w:t>Zur Begründung seines ablehnenden Asylentscheids führte das SEM an, es bestehe keine allgemeine Dienstpflicht für die Sicherheitskräfte der herrschenden kurdischen Parteien Patriotische Union Kurdistan (PUK) und Partiya Demokrata Kurdistanê (PDK [Demokratische Partei Kurdistans]) sowie die dem Peschmerga-Ministerium direkt unterstellten Truppen. De- sertion von den Truppen entfalte für neu eingetretene Soldaten keine flüchtlingsrechtlich relevanten Nachteile. Der Umstand, dass der Be- schwerdeführer problemlos Reisepapiere habe beschaffen und mit diesen habe ausreisen können, belege die fehlende flüchtlingsrechtliche Relevanz des Sachverhalts. Auch die Vorgeschichte seines Vaters würde sein Profil nicht schärfen, zumal er – der Beschwerdeführer – sich ohne Konsequen- zen der Peschmerga habe anschliessen können. Es sei daher nicht von einer erhöhten Gefahr einer unmittelbar drohenden individuellen Verfol- gung im flüchtlingsrechtlichen Sinne auszugehen. Ferner sei der Vorfall mit seinem Zimmerkameraden nicht geeignet, um eine ihm drohende Verfol- gung zu begründen, zumal der Beschwerdeführer selbst keine Kritik an den Peschmerga in öffentlich zugänglichen Medien geübt habe und lediglich Zeuge des Vorfalls geworden sei. Im Übrigen sei es nachvollziehbar, dass sich Angehörige der Peschmerga nach unentschuldigtem Wegbleiben über den Aufenthalt des Beschwerdeführers erkundigt hätten. Allerdings seien keine konkreten Hinweise ersichtlich, die auf eine unmittelbar drohende und unverhältnismässige Bestrafung aufgrund seiner Desertion deuten würden. Schliesslich würden auch die allgemeine Sicherheitslage sowie die politischen, wirtschaftlichen und sozialen Lebensbedingungen im Nord- irak aufgrund der fehlenden Gezieltheit keine flüchtlingsrechtlich relevante Verfolgung darstellen.</w:t>
      </w:r>
    </w:p>
    <w:p>
      <w:r>
        <w:rPr>
          <w:b/>
        </w:rPr>
        <w:t>E. 5.2</w:t>
      </w:r>
    </w:p>
    <w:p>
      <w:r>
        <w:t>Demgegenüber brachte der Beschwerdeführer in seiner Beschwerde vor, er sei der Peschmerga nicht freiwillig beigetreten. Wenn eine Familie zwei Söhne habe, existiere eine Wehrpflicht für einen der Söhne. Da er zwei Brüder habe, wovon einer in der Schweiz lebe und der andere min- derjährig sei, sei er wehrpflichtig gewesen. Zudem habe er während des Dienstes nie seine Meinung kundtun können, ohne mit einer körperlichen Bestrafung rechnen zu müssen. Dies zeige auch die Misshandlung und Entführung seines Zimmerkameraden. Sodann habe ihn sein Onkel schon als Minderjährigen misshandelt und geschlagen. Es sei auch sein Onkel gewesen, der seine Desertion bei der Peschmerga gemeldet habe. Darauf- hin sei dieser vorgeladen und über seinen Aufenthaltsort befragt worden. Aufgrund seiner Desertion werde er gesucht, dies belege der eingereichte</w:t>
      </w:r>
    </w:p>
    <w:p>
      <w:r>
        <w:t>D-3481/2022 Seite 8 Haftbefehl. Ferner sei die Einschätzung der Sicherheitslage in der ARK un- zutreffend. Es würden massive Demonstrationen stattfinden und die Kor- ruption sei allgegenwärtig. Im Übrigen sei er traumatisiert von Waffen und Schüssen, nicht zuletzt wegen der Vorgeschichte seines Vaters. Schliess- lich seien ein Onkel, Cousins und sein Bruder in der Schweiz wohnhaft. Er selbst wolle sich in der Schweiz schnell integrieren, weswegen er sich schon über Deutschkurse erkundigt habe. Zur Stützung seiner Vorbringen reichte er das Foto eines Peschmerga- Ausweises samt deutscher Übersetzung und einen Haftbefehl des Unter- suchungsgerichts Suleimaniya vom (…) 2022 einschliesslich deutscher Übersetzung zu den Akten.</w:t>
      </w:r>
    </w:p>
    <w:p>
      <w:r>
        <w:rPr>
          <w:b/>
        </w:rPr>
        <w:t>E. 5.3</w:t>
      </w:r>
    </w:p>
    <w:p>
      <w:r>
        <w:t>In seiner Vernehmlassung führte das SEM an, die Beschwerdevorbrin- gen sowie der eingereichte Haftbefehl würden nicht zu einer anderen Ein- schätzung der flüchtlingsrechtlichen Relevanz des zu beurteilenden Sach- verhalts führen.</w:t>
      </w:r>
    </w:p>
    <w:p>
      <w:r>
        <w:rPr>
          <w:b/>
        </w:rPr>
        <w:t>E. 5.4</w:t>
      </w:r>
    </w:p>
    <w:p>
      <w:r>
        <w:t>Der Beschwerdeführer entgegnete in seiner Replik, der eingereichte Haftbefehl sei nicht berücksichtigt worden, obwohl dieser seine geltend ge- machte Verfolgung zu belegen vermöge. Im Übrigen sei er an der Anhö- rung ängstlich und nervös gewesen. Der Umstand, dass er geweint habe, zeige seine Furcht vor einer Rückkehr.</w:t>
      </w:r>
    </w:p>
    <w:p>
      <w:r>
        <w:rPr>
          <w:b/>
        </w:rPr>
        <w:t>E. 6.1</w:t>
      </w:r>
    </w:p>
    <w:p>
      <w:r>
        <w:t>Das Gericht stellt in Übereinstimmung mit der Vorinstanz fest, dass die Rekrutierung für die Peschmerga in der ARK auf freiwilliger Basis erfolgt und einem Anstellungsverhältnis gleicht; Berichte über Zwangsrekrutierung sind nicht bekannt (vgl. EASO Country Guidance: Iraq. common analysis and guidance note, Januar 2021, S. 74, &lt; https://euaa.europa.eu/si- tes/default/files/Country_Guidance_Iraq_2021.pdf &gt;). Das Vorbringen des Beschwerdeführers, bei Familien mit zwei Söhnen und mehr bestehe für einen Sohn eine Wehrpflicht, ist daher eine unbegründete Parteibehaup- tung.</w:t>
      </w:r>
    </w:p>
    <w:p>
      <w:r>
        <w:rPr>
          <w:b/>
        </w:rPr>
        <w:t>E. 6.2</w:t>
      </w:r>
    </w:p>
    <w:p>
      <w:r>
        <w:t>Auch das Vorbringen des Beschwerdeführers, er sei aufgrund seiner Desertion künftig flüchtlingsrechtlich relevanter Verfolgung ausgesetzt, überzeugt nicht. Peshmerga-Rekruten unterzeichnen einen Vertrag für ei- nen bestimmten Zeitraum; nach dessen Ablauf steht es ihnen frei, die Trup- pen zu verlassen. Bleiben sie ihrer Einheit schon vor Ablauf des Vertrags fern (Desertion), ist bei Soldaten mit niedrigem Rang davon auszugehen,</w:t>
      </w:r>
    </w:p>
    <w:p>
      <w:r>
        <w:t>D-3481/2022 Seite 9 dass dies keine flüchtlingsrechtlich relevanten Nachteile nach sich zieht (vgl. EASO Country Guidance: Iraq, a.a.O., S. 73; vgl. auch Urteil des BVGer D-1114/2014 vom 29. Juli 2014). In der Folge deutet – wie von der Vorinstanz zutreffend festgestellt – nichts darauf hin, dass sich aus den angeblichen Erkundigungen der Peschmerga im Anschluss an sein Fern- bleiben eine objektiv begründete Furcht vor Verfolgung ableiten liesse. In- sofern ist auch nicht relevant, ob diese Erkundigungen von den Pe- schmerga selbst ausgegangen oder aufgrund eines Hinweises seines On- kels eingeleitet worden sind.</w:t>
      </w:r>
    </w:p>
    <w:p>
      <w:r>
        <w:rPr>
          <w:b/>
        </w:rPr>
        <w:t>E. 6.3</w:t>
      </w:r>
    </w:p>
    <w:p>
      <w:r>
        <w:t>Mit Blick auf den eingereichten Haftbefehl stellt das Gericht Folgendes fest: Die Authentizität (nord)irakischer Haftbefehle lässt sich aufgrund ihrer leichten Fälschbarkeit und Beschaffbarkeit nicht überprüfen. Zur Beurtei- lung des Beweiswertes solcher Dokumente ist daher auf die Umstände der Erlangung abzustützen (vgl. Urteil des BVGer E-5758/2015 vom 8. Januar 2018 E. 6.2.3; vgl. auch Urteil des EGMR M.A. gegen Schweiz vom 18. No- vember 2014, 52589/13, § 62). Der auf Beschwerdestufe eingereichte Haftbefehl datiert auf den (…) 2022; die Anhörung zu seinen Asylgründen fand am 21. Juni 2022 statt. Es ist nicht nachvollziehbar, weshalb der Be- schwerdeführer den Haftbefehl erst auf Beschwerdeebene einreichte und ihn im erstinstanzlichen Verfahren nicht zumindest erwähnt hat, zumal er auch nicht geltend macht, dies sei ihm nicht möglich gewesen oder er habe erst nachträglich davon erfahren. In der Folge ist der Haftbefehl als nach- geschobenes Beweismittel zu erachten, weshalb die Umstände seiner Er- langung nicht geeignet erscheinen, eine flüchtlingsrechtlich relevante Ver- folgung zu belegen beziehungsweise glaubhaft zu machen.</w:t>
      </w:r>
    </w:p>
    <w:p>
      <w:r>
        <w:rPr>
          <w:b/>
        </w:rPr>
        <w:t>E. 6.4</w:t>
      </w:r>
    </w:p>
    <w:p>
      <w:r>
        <w:t>Sodann erachtet das Gericht auch die vorinstanzliche Einschätzung betreffend die geltend gemachte Reflexverfolgung aufgrund der Vorkomm- nisse im Zusammenhang mit dem Vater des Beschwerdeführers als zutref- fend. Es ist nicht ersichtlich, dass ihm aufgrund der Tätigkeit seines Vaters für den Asayesh ernsthafte Nachteile im Sinne von Art. 3 AsylG drohen könnten, zumal er sich den Peschmarga ohne weiteres anschliessen konnte. Die Behelligungen, die er deswegen erfahren haben will, sind ge- mäss eigenen Aussagen nicht über unterschwellige verbale Schikanen hin- ausgegangen (vgl. 38/15 F70). Nichts deutet auf das Bestehen einer auch objektiv begründeten Furcht vor Verfolgung hin.</w:t>
      </w:r>
    </w:p>
    <w:p>
      <w:r>
        <w:rPr>
          <w:b/>
        </w:rPr>
        <w:t>E. 6.5</w:t>
      </w:r>
    </w:p>
    <w:p>
      <w:r>
        <w:t>Dasselbe gilt für das Vorbringen, ein Kamerad sei wegen öffentlicher Kritik an der Entlohnungspolitik der Peschmerga angegriffen und entführt worden, zumal nicht ersichtlich ist, dass der Beschwerdeführer selbst Kritik</w:t>
      </w:r>
    </w:p>
    <w:p>
      <w:r>
        <w:t>D-3481/2022 Seite 10 geübt hat. Im Übrigen ist hierzu, um Wiederholungen zu vermeiden, auf die zutreffenden Ausführungen der Vorinstanz zu verweisen.</w:t>
      </w:r>
    </w:p>
    <w:p>
      <w:r>
        <w:rPr>
          <w:b/>
        </w:rPr>
        <w:t>E. 6.6</w:t>
      </w:r>
    </w:p>
    <w:p>
      <w:r>
        <w:t>Betreffend das Vorbringen, er sei von seinem Onkel schon als Minder- jähriger misshandelt und geschlagen worden, hält das Gericht fest, dass das Asylrecht nicht zur Wiedergutmachung von geschehenem Unrecht, sondern zum Schutz vor künftiger Verfolgung dient. Auch ist nicht zu er- warten, dass ihn sein Onkel bei einer Rückkehr in den Nordirak suchen würde, zumal er ihn bei der Ausreise sowohl finanziell wie auch organisa- torisch unterstützt haben soll (vgl. 38/15 F61). Ausserdem steht es dem Beschwerdeführer frei, sich an einem anderen Ort im Nordirak niederzu- lassen.</w:t>
      </w:r>
    </w:p>
    <w:p>
      <w:r>
        <w:rPr>
          <w:b/>
        </w:rPr>
        <w:t>E. 6.7</w:t>
      </w:r>
    </w:p>
    <w:p>
      <w:r>
        <w:t>Die weiteren Vorbringen des Beschwerdeführers, er sei von Waffen und Schüssen traumatisiert, die Sicherheitslage im Nordirak sei prekär, er habe Angehörige in der Schweiz und sei gewillt, sich in der Schweiz zu integrie- ren, sind aufgrund ihrer fehlenden Asylrelevanz – soweit erforderlich – im Rahmen der Zumutbarkeit des Wegweisungsvollzugs zu prüfen (vgl. E. 9.4).</w:t>
      </w:r>
    </w:p>
    <w:p>
      <w:r>
        <w:rPr>
          <w:b/>
        </w:rPr>
        <w:t>E. 7</w:t>
      </w:r>
    </w:p>
    <w:p>
      <w:r>
        <w:t>Nach dem Dargelegten hat die Vorinstanz die Flüchtlingseigenschaft des Beschwerdeführers zu Recht verneint und dessen Asylgesuch zutreffend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D-3481/2022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 schaffung in den Nordirak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w:t>
      </w:r>
    </w:p>
    <w:p>
      <w:r>
        <w:t>D-3481/2022 Seite 12 glaubhaft machen, dass ihm im Fall einer Rückschiebung Folter oder un- menschliche Behandlung drohen würde (vgl. Urteil des EGMR Saadi ge- gen Italien 28. Februar 2008, Grosse Kammer 37201/06, §§ 124–127 m.w.H.). Daran vermag auch der eingereichte Haftbefehl nichts zu ändern, zumal dieser aufgrund der Umstände der Erlangung nicht geeignet erscheint, eine drohende Verletzung von Art. 3 oder Art. 6 EMRK zu belegen (vgl. dazu E. 6.3). Auch die allgemeine Menschenrechtssituation im Nordirak lässt den Weg- 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der Rechtsprechung des Bundesverwaltungsgerichts herrscht in der Provinz Suleimaniya keine Situation allgemeiner Gewalt und die dor- tige politische Lage ist nicht dermassen angespannt, als dass eine Rück- führung dorthin als generell unzumutbar betrachtet werden müsste. Die Ausführungen des Beschwerdeführers zur Sicherheitslage vermögen diese Einschätzung nicht zu erschüttern. Die Anordnung des Wegwei- sungsvollzugs in die Provinz Suleimaniya setzt jedoch voraus, dass die be- treffende Person ursprünglich aus der Region stammt oder eine längere Zeit dort gelebt hat und über ein soziales Netz (Familie, Verwandtschaft oder Bekanntenkreis) oder über Beziehungen zu den herrschenden Par- teien verfügt (vgl. BVGE 2008/5 E. 7.5.8; bestätigt im Referenzurteil des BVGer E-3737/2015 vom 14. Dezember 2015 E. 7.4.5). Der Beschwerdeführer stammt aus Suleimaniya und hat sein gesamtes Le- ben dort verbracht. Es handelt sich bei ihm um einen jungen, gesunden Mann mit Schulabschluss und Berufserfahrung im Autohandel und im Mili- tärdienst. Er ist sozial verankert und verfügt über ein tragfähiges Bezie- hungsnetz. Der Umstand, dass er gemäss eigenen Aussagen an Rücken- schmerzen leide (vgl. 38/15 F 4) und auf Beschwerdeebene vorbrachte, er</w:t>
      </w:r>
    </w:p>
    <w:p>
      <w:r>
        <w:t>D-3481/2022 Seite 13 sei von Waffen und Schüssen traumatisiert, steht indes einem Vollzug der Wegweisung nicht entgegen, zumal seine geltend gemachte Traumatisie- rung nicht näher dargelegt wurde. Auch der Hinweis auf seine in der Schweiz lebenden Verwandten und seine Bereitschaft, sich hier zu integ- rieren, ändert nichts an der Zumutbarkeit des Vollzugs. Im Übrigen ist auf die zutreffenden Erwägungen der Vorinstanz zu verweisen. Nach dem Ge- sagten erweist sich der Vollzug der Wegweisung auch als zumutbar.</w:t>
      </w:r>
    </w:p>
    <w:p>
      <w:r>
        <w:rPr>
          <w:b/>
        </w:rPr>
        <w:t>E. 9.5</w:t>
      </w:r>
    </w:p>
    <w:p>
      <w:r>
        <w:t>Schliesslich obliegt es dem Beschwerdeführer, der über eine gültige irakische Identitätskarte verfügt, sich bei der zuständigen Vertretung des Heimatstaates die für eine Rückkehr notwendigen Reisedokumente zu be- 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D-3481/2022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