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D-3479/2014 vom 28. Juli 2014</w:t>
      </w:r>
    </w:p>
    <w:p>
      <w:r>
        <w:t>Bundesverwaltungsgericht, 2014-07-28, DE</w:t>
      </w:r>
    </w:p>
    <w:p>
      <w:r>
        <w:rPr>
          <w:b/>
        </w:rPr>
        <w:t xml:space="preserve">Quelle: </w:t>
      </w:r>
      <w:r>
        <w:t>https://mcp.opencaselaw.ch/entscheid/bvger_D-3479_2014</w:t>
      </w:r>
    </w:p>
    <w:p>
      <w:r>
        <w:t>FR: TAF D-3479/2014 du 28 juillet 2014</w:t>
      </w:r>
    </w:p>
    <w:p>
      <w:r>
        <w:t>IT: TAF D-3479/2014 del 28 luglio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51 Abs. 1 AsylG werden - unter dem Titel Familienasyl - Ehegatten von asylberechtigten Flüchtlingen und deren minderjährige Kinder ihrerseits als Flüchtlinge anerkannt und erhalten Asyl, sofern keine besonderen Umstände dagegen sprechen. Nach ständiger Praxis bezweckt das Rechtsinstitut des Familienasyls die Bewahrung von vorbestandenen Familiengemeinschaften beziehungsweise deren Wiederherstellung.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Für die Beurteilung ist der Zeitpunkt des Asyl- beziehungsweise Beschwerdeentscheides massgeblich (vgl. dazu Entscheidungen und Mitteilungen der Schweizerischen Asylrekurskommission [EMARK] 2006 Nr. 8 E. 3 S. 93 ff., EMARK 2006 Nr. 7 E. 5.4 S. 78 f. und E. 6.1 S. 80 ff., EMARK 2002 Nr. 20 E. 4 S. 165 ff., EMARK 2000 Nr. 11 E. 3a S. 88 f., jeweils mit weiteren Hinweisen).</w:t>
      </w:r>
    </w:p>
    <w:p>
      <w:r>
        <w:rPr>
          <w:b/>
        </w:rPr>
        <w:t>E. 5.1</w:t>
      </w:r>
    </w:p>
    <w:p>
      <w:r>
        <w:t>Vorliegend lehnte das BFM das Gesuch um Familienzusammenführung gestützt auf Art. 51 Abs. 1 und 4 AsylG mit der Begründung ab, dass den Akten keine Hinweise zu entnehmen seien, die auf eine eheähnliche Gemeinschaft zwischen den Beschwerdeführenden vor der Flucht der Beschwerdeführerin schliessen liessen. Die Beschwerdeführerin habe angegeben, dass der Beschwerdeführer sofort nach der Heirat verschwunden sei und sie nicht wisse, wo er sich seither aufhalte. Aus der eingereichten Kopie der Heiratsurkunde gehe jedoch hervor, dass die Beschwerdeführenden am (...) geheiratet hätten, das heisst einen Tag vor der Ausreise der Beschwerdeführerin in die Schweiz.</w:t>
      </w:r>
    </w:p>
    <w:p>
      <w:r>
        <w:rPr>
          <w:b/>
        </w:rPr>
        <w:t>E. 5.2</w:t>
      </w:r>
    </w:p>
    <w:p>
      <w:r>
        <w:t>Demgegenüber führte die Beschwerdeführerin aus, das Hochzeitsdatum sei Oktober 2010 und sie und der Beschwerdeführer hätten zu diesem Zeitpunkt bereits ca. ein Jahr zusammengelebt. Kurz nach der Heirat sei ihr Mann geflüchtet, weil er ins Militär hätte eingezogen werden sollen. Als Konsequenz sei sie als seine Ehefrau verhaftet worden. Nach ihrer Flucht nach Addis Abeba wären ihr alle Dokumente abgenommen worden, auch die tatsächliche Heiratsurkunde. Am Vortag vor ihrer Abreise in die Schweiz wären Daten aufgenommen worden, um ihr ein Dokument auszustellen. In diesem Dokument wäre zwar der Tag vor ihrer Abreise als Heiratsdatum eingetragen, allerdings wäre der Beschwerdeführer nicht dabei gewesen und sie habe auch nicht gewusst, wo er gewesen sei. Sie könne das Vorgebrachte nicht beweisen, nichtsdestotrotz entspreche es der Wahrheit.</w:t>
      </w:r>
    </w:p>
    <w:p>
      <w:r>
        <w:rPr>
          <w:b/>
        </w:rPr>
        <w:t>E. 5.3</w:t>
      </w:r>
    </w:p>
    <w:p>
      <w:r>
        <w:t>Anlässlich der Befragung vom 21. Mai 2013 gab die Beschwerdeführerin an, dass sie nach der Scheidung von ihrem ersten Mann mit ihren Kindern im Haus ihrer Eltern mit denselben gelebt habe. Die Scheidung wäre 2009 rechtskräftig geworden. Die Beschwerdeführerin gab an, ein zweites Mal geheiratet zu haben (den Beschwerdeführer). Sie wären zunächst befreundet gewesen und hätten dann geheiratet. Gleich nach der Heirat sei er spurlos verschwunden. Sein Aufenthaltsort sei ihr unbekannt (B12/17, S. 3f. ). Zu ihren Asylgründen befragt, gab sie wiederholt an, dass sie wegen falschen und grundlosen Anschuldigungen, wonach sie Leuten illegal zur Ausreise über die Grenze verholfen habe, geflüchtet sei, da sie deshalb vorgängig festgenommen worden sei (B12/17, S. 7, 11; B5/11, S. 8). Sie präzisierte anlässlich der Befragung vom 21. Mai 2013, dass ihr Bruder fälschlicherweise angenommen habe, dass sie wegen der Desertion ihres ersten Ehemannes (der Vater ihrer Kinder) geflüchtet sei, dabei sei sie wegen der Beschuldigung der Schlepperei geflohen (B12/17, S. 11 f.). Auf die Frage, von welchem Ehemann in diesem Zusammenhang die Rede sei, antwortete die Beschwerdeführerin jedoch, dass es sich um den Beschwerdeführer handle (B12/17, S. 13). Ferner gab sie an, dass sie lediglich einmal im Gefängnis gewesen sei (B12/S. 14). Nach ihren Ausweisen befragt, führte sie aus, sie habe lediglich eine ID besessen, welche bei ihrer Einreise nach Äthiopien konfisziert worden sei, weitere Papiere habe sie keine besessen (B12/17, S. 6).</w:t>
      </w:r>
    </w:p>
    <w:p>
      <w:r>
        <w:rPr>
          <w:b/>
        </w:rPr>
        <w:t>E. 5.4</w:t>
      </w:r>
    </w:p>
    <w:p>
      <w:r>
        <w:t>Die von der Beschwerdeführerin in Kopie zu den Akten gereichte Urkunde ist in amharischer und englischer Sprache abgefasst, trägt in englischer Fassung den Titel "Marriage Certificate" und ist mit dem äthiopischen und dem abendländischen Kalender entsprechenden Datum versehen, welche im Übrigen übereinstimmen, was einen Fehler bei der Umdatierung von vorneherein ausschliesst. Gemäss Wortlaut wurde die Ehe am 8. September 2004 (nach äthiopischem Kalender) bzw. am 16. Mai 2012 (nach abendländischem Kalender) vor dem Zivilstandesamt in Addis Abeba geschlossen. Als Adresse ist bei den Beschwerdeführenden C._______ angegeben, was sehr ähnlich klingt wie D._______, der Name des Flüchtlingslagers, in welchem sich die Beschwerdeführerin nach ihrer Ankunft in Äthiopien eigenen Angaben zufolge aufgehalten hat (B12/17, S. 11). Dieser Umstand legt die Vermutung nahe, dass sich die Beschwerdeführenden gemeinsam im Flüchtlingslager D._______ aufgehalten haben, was nicht mit der Version der Beschwerdeführerin in Einklang zu bringen ist, sie habe seit der Desertion ihres Ehemannes nichts mehr von ihm gehört. Ferner ist dem Gericht bekannt, dass nach äthiopischer Rechtsordnung die formellen Voraussetzungen für eine Eheschliessung dergestalt sind, dass Heiratswillige (u.a.) persönlich beim Zivilstandesamt vorstellig werden müssen, ein Ausweisdokument vorzuweisen haben und entweder eine Heiratsurkunde (für den Fall, dass die Ehe lediglich zu bestätigen ist), ein Scheidungsurteil oder eine offizielle Bestätigung, wonach sie unverheiratet sind, mitführen müssen. Wenn die Beschwerdeführerin vorbringt, dass ihr in Abwesenheit des Beschwerdeführers, ohne ID und ohne Heiratsurkunde, das heisst vorschriftswidrig, ein Heiratszertifikat ausgestellt wurde, so ist dies unglaubhaft. Hinzu kommt, dass nicht einzusehen ist, weshalb sie lediglich eine Kopie von ihrer ID erstellt haben soll, nicht jedoch von ihrer Heiratsurkunde. Die Beschwerdeführerin gab denn auch an, dass sie bei ihrer Ausreise lediglich ihre ID dabei gehabt habe und keine weiteren Papiere (B12/17, S. 6). Die Aussage, wonach ihr die Heiratsurkunde bei der Einreise abgenommen wurde, ist folglich nicht glaubhaft. Im Zusammenhang mit der ID und der Heiratsurkunde fällt im Übrigen auf, dass die angegebenen Geburtsdaten der Beschwerdeführerin (11. Juli 1988 bzw. 5 März 1988) nicht übereinstimmen, was ebenfalls Fragen aufwirft. Hinzu kommt ein weiterer Widerspruch: Nach ihrem Leben nach der Scheidung von ihrem ersten Mann im Jahr 2009 befragt, gab die Beschwerdeführerin an, dass sie mit ihren Kindern zurück zu ihren Eltern gezogen sei. Der Beschwerdeführer, mit dem sie - will man den Aussagen in ihrer Eingabe folgen - bereits seit ca. einem Jahr zusammengelebt haben will, bleibt in dieser ersten Schilderung unerwähnt. Hätten die Beschwerdeführenden zu diesem Zeitpunkt tatsächlich einen gemeinsamen Haushalt geführt, ist nicht nachvollziehbar, weshalb im Zusammenhang mit ihrer Wohnsituation ihre Kinder und Eltern erwähnt wurden, nicht jedoch der Beschwerdeführer.</w:t>
      </w:r>
    </w:p>
    <w:p>
      <w:r>
        <w:rPr>
          <w:b/>
        </w:rPr>
        <w:t>E. 5.5</w:t>
      </w:r>
    </w:p>
    <w:p>
      <w:r>
        <w:t>Aus dem Gesagten geht hervor, dass die Beschwerdeführenden entgegen den Ausführungen der Beschwerdeführerin vor ihrer Flucht nicht in einem gemeinsamen Haushalt gelebt haben, weshalb das BFM das Gesuch um Familiennachzug zu Recht abgelehnt hat.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