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D-3476/2014 vom 15. Mai 2015</w:t>
      </w:r>
    </w:p>
    <w:p>
      <w:r>
        <w:t>Bundesverwaltungsgericht, 2015-05-15, DE</w:t>
      </w:r>
    </w:p>
    <w:p>
      <w:r>
        <w:rPr>
          <w:b/>
        </w:rPr>
        <w:t xml:space="preserve">Quelle: </w:t>
      </w:r>
      <w:r>
        <w:t>https://mcp.opencaselaw.ch/entscheid/bvger_D-3476_2014</w:t>
      </w:r>
    </w:p>
    <w:p>
      <w:r>
        <w:t>FR: TAF D-3476/2014 du 15 mai 2015</w:t>
      </w:r>
    </w:p>
    <w:p>
      <w:r>
        <w:t>IT: TAF D-3476/2014 del 15 maggio 2015</w:t>
      </w:r>
    </w:p>
    <w:p>
      <w:pPr>
        <w:pStyle w:val="Heading2"/>
      </w:pPr>
      <w:r>
        <w:t>Regeste</w:t>
      </w:r>
    </w:p>
    <w:p>
      <w:r>
        <w:t>Asyl (ohne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(Art. 105 AsylG i.V.m. Art. 31 und 33 VGG; Art. 83 Bst. d Ziff. 1 BGG).</w:t>
      </w:r>
    </w:p>
    <w:p>
      <w:r>
        <w:rPr>
          <w:b/>
        </w:rPr>
        <w:t>E. 1.2</w:t>
      </w:r>
    </w:p>
    <w:p>
      <w:r>
        <w:t>Das Verfahren richtet sich nach dem VwVG, soweit das VGG oder AsylG nichts anderes bestimmen (Art. 37 VGG; Art. 6 und 105 ff. AsylG).</w:t>
      </w:r>
    </w:p>
    <w:p>
      <w:r>
        <w:rPr>
          <w:b/>
        </w:rPr>
        <w:t>E. 1.3</w:t>
      </w:r>
    </w:p>
    <w:p>
      <w:r>
        <w:t>Der Beschwerdeführer ist legitimiert (Art. 48 Abs. 1 VwVG) und seine Beschwerdeeingabe erfolgte frist- und formgerecht (Art. 108 Abs. 1 AsylG; Art. 52 Abs. 1 VwVG), womit auf die Beschwerde einzutreten ist.</w:t>
      </w:r>
    </w:p>
    <w:p>
      <w:r>
        <w:rPr>
          <w:b/>
        </w:rPr>
        <w:t>E. 2</w:t>
      </w:r>
    </w:p>
    <w:p>
      <w:r>
        <w:t>Im Rahmen seiner Beschwerde beruft sich der Beschwerdeführer vorab auf das Vorliegen einer Verletzung seines Anspruchs auf das rechtliche Gehör sowie eine angeblich unvollständige und unrichtige Sachverhaltsfeststellung durch die Vorinstanz. In seinen diesbezüglichen Ausführungen verkennt er jedoch, dass dem von ihm zur Einsicht- und Stellungnahme einverlangten Aktenstück der Vor­instanz, die BFM-Akte A33/1 "interner Antrag" betreffend die Anordnung der vorläufigen Aufnahme in der Schweiz, praxisgemäss kein Beweischarakter zukommt, sondern das Aktenstück der Vorinstanz lediglich als Hilfsmittel bei der internen Entscheidfindung und Verfahrensleitung diente, womit es nicht der Akteneinsicht gemäss Art. 26 VwVG unterliegt (vgl. dazu BGE 115 V 297 E. 2g/aa). Ebenso verkennt er, dass sich die Vor­instanz bei der Beurteilung des Einzelfalles nicht zu jeder möglichen Quelle zu äussern hat, sondern der Begründungspflicht Genüge getan wird, wenn sie im Rahmen der Begründung die wesentlichen Überlegungen nennt, welche sie ihrem Entscheid zugrunde legt. Dieser Anforderung wurde das BFM im Rahmen der angefochtenen Verfügung gerecht. Da - wie nachfolgend aufgezeigt - die Beschwerde aufgrund der Aktenlage in der Hauptsache gutzuheissen und das SEM anzuweisen ist, dem Beschwerdeführer Asyl zu gewähren, kann auf weitere Erwägungen zu den angeblichen formellen Mängeln der angefochtenen Verfügung jedoch verzichtet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Urteil des Bundesverwaltungsgerichts D-5779/2013 vom 25. Februar 2015 [zur Publikation als Referenzurteil vorgesehen], E. 5.2 m.w.H.).</w:t>
      </w:r>
    </w:p>
    <w:p>
      <w:r>
        <w:rPr>
          <w:b/>
        </w:rPr>
        <w:t>E. 4.1</w:t>
      </w:r>
    </w:p>
    <w:p>
      <w:r>
        <w:t>In der angefochtenen Verfügung gelangt die Vorinstanz zum Schluss, die Vorbringen des Beschwerdeführers über seine angeblich illegale Ausreise aus Syrien, über die angeblich erlittenen Nachstellungen vonseiten des politischen Sicherheitsdienstes und über die angeblich nach ihm laufende Suche seien aufgrund von Tatsachenwidrigkeiten, Widersprüchen und unlogischen Elementen im Sachverhaltsvortrag insgesamt unglaubhaft, und es hält ausdrücklich fest, alleine wegen seiner Betätigung als kurdischer Musiker erfülle er die Flüchtlingseigenschaft nicht. Im Rahmen der Begründung verweist das Bundesamt auf das Ergebnis der Botschaftsabklärungen, womit belegt sei, dass der Beschwerdeführer seine Heimat nicht wie behauptet illegal, sondern (...[gegen Ende]) Mai 2011 legal über den Grenzposten C._______ verlassen habe. Sodann habe er sich in seinen Schilderungen über die geltend gemachte Haft und über die angebliche Suche nach seiner Person aktenkundig in Widersprüche verstrickt. Darüber hinaus entbehrten seine Schilderungen betreffend sein Verhalten nach der behaupteten Freilassung (angeblich ... [gegen Ende] April 2011) jeglicher Logik, zumal er ja bei der von ihm geltend gemachten Untätigkeit als Spitzel (angeblich bis ... [Mitte] Mai 2011) mit Nachstellungen vonseiten der Sicherheitskräfte habe rechnen müssen. Gerade die legale Ausreise über einen offiziellen Grenzposten spreche schliesslich gegen das Vorliegen der behaupteten Verfolgungssituation. Ohnehin bleibe aufgrund seiner Ausführungen offen, warum die heimatlichen Sicherheitskräfte überhaupt ein Interesse am Beschwerdeführer hätten haben sollen, zumal er zu keinem Zeitpunkt Mitglied einer kurdischen Partei, sondern bloss ein Musiker gewesen sei.</w:t>
      </w:r>
    </w:p>
    <w:p>
      <w:r>
        <w:rPr>
          <w:b/>
        </w:rPr>
        <w:t>E. 4.2</w:t>
      </w:r>
    </w:p>
    <w:p>
      <w:r>
        <w:t>Im Rahmen seiner Beschwerdeeingabe bestreitet der Beschwerdeführer die vorgenannten Schlüsse, indem er seine Sachverhaltsschilderungen als insgesamt überzeugend respektive nachvollziehbar, substanziiert und widerspruchsfrei darstellt. Die anders lautenden Erwägungen des BFM erklärt er aufgrund der Aktenlage als unbegründet. Richtig sei vielmehr, dass er ausführlich und konsistent über das behördliche Vorgehen gegen seine Person berichtet habe. So habe er insgesamt glaubhaft und mit Beweismitteln unterlegt über seine Teilnahme an zahlreichen politischen Veranstaltungen als Musiker berichten können, wobei sein Bericht sehr ausführlich ausgefallen sei, indem er in freier Rede ununterbrochen logisch und konsistent seine Probleme in der Heimat geschildert habe. Diese Realkennzeichen müssten zwingend Berücksichtigung finden. Dabei bekräftigt er namentlich die geltend gemachte Abnahme seines Reisepasses durch die syrischen Behörden zu Anfang März 2011 und die geltend gemachte illegale Ausreise aus Syrien. Die vorinstanzlichen Feststellungen betreffend das Vorliegen von Tatsachenwidrigkeiten, Widersprüchen und unlogischen Elementen erklärte er unter Verweis auf verschiedene Aktenstellen als unbegründet. Schliesslich hält er dafür, vom BFM sei verkannt worden, dass er für die syrischen Behörden von hohem Interesse gewesen sei, weil er aufgrund seiner Tätigkeit als Musiker stets sehr gut über alle Vorgänge innerhalb der kurdischen Kreise informiert gewesen sei, ohne gleichzeitig eine Führungsfunktion innezuhaben. Da er wegen seiner politisch-musi­kalischen Tätigkeit von den heimatlichen Behörden gezielt gesucht, inhaftiert und misshandelt worden sei, habe er im Zeitpunkt seiner Ausreise aus Syrien die Flüchtlingseigenschaft erfüllt, weshalb ihm Asyl zu gewähren sei.</w:t>
      </w:r>
    </w:p>
    <w:p>
      <w:r>
        <w:rPr>
          <w:b/>
        </w:rPr>
        <w:t>E. 4.3</w:t>
      </w:r>
    </w:p>
    <w:p>
      <w:r>
        <w:t>Für den Inhalt der vorinstanzlichen Vernehmlassung und der diesbezüglichen Replik des Beschwerdeführers kann vor dem Hintergrund der nachfolgenden Erwägungen auf die Akten verwiesen werden, zumal sich die Parteien in diesen Rechtsschriften vornehmlich zur Frage der flüchtlingsrechtlichen Relevanz exilpolitischer Aktivitäten äusserten.</w:t>
      </w:r>
    </w:p>
    <w:p>
      <w:r>
        <w:rPr>
          <w:b/>
        </w:rPr>
        <w:t>E. 5.1</w:t>
      </w:r>
    </w:p>
    <w:p>
      <w:r>
        <w:t>Aufgrund der Akten ist mit der Vorinstanz darin einig zu gehen, dass die Angaben und Ausführungen des Beschwerdeführers über eine angeblich ab (... [Mitte]) Mai 2011 unmittelbar drohende Verhaftung durch den politischen Sicherheitsdienst Mängel aufweisen, welche geeignet sind, den Sachverhaltsvortrag in diesem Punkt als überwiegend unglaubhaft erscheinen zu lassen. Gleichzeitig ist mit der Vorinstanz aufgrund der Auskünfte der schweizerischen Botschaft in Damaskus davon auszugehen, der Beschwerdeführer habe seine Heimat nicht über die grüne Grenze, sondern (... [an einem bekannten Datum gegen Ende]) Mai 2011 über einen offiziellen Grenzposten in Richtung der Türkei und damit mutmasslich legal verlassen. Ob der Beschwerdeführer mit seinem Pass oder lediglich mit seiner Identitätskarte die Grenze zur Türkei überquert hat, bleibt aufgrund der Auskunft der Botschaft unklar. Die Registrierung eines Grenzübertritts an sich spricht jedoch gegen das Vorliegen einer unmittelbaren Verhaftungsgefahr im Ausreisezeitpunkt. Anders verhält es sich mit den Schilderungen des Beschwerdeführers über einen offenbar zunehmenden behördlichen Druck auf seine Person im Anfangsstadium der zuerst noch friedlichen Volkserhebung in Syrien vom Frühjahr 2011. Aufgrund der in diesem Punkt überwiegend nachvollziehbaren Schilderungen ist davon auszugehen, der Beschwerdeführer sei im März 2011 von den heimatlichen Sicherheitsbehörden zu einer Vorsprache aufgeboten worden, worauf ihm Vorhaltungen wegen eines Visumsgesuches vom Vorjahr gemacht wurden. Soweit ersichtlich wurde er bei dieser Gelegenheit vonseiten der syrischen Sicherheitskräfte primär eingeschüchtert, was zu diesem frühen Zeitpunkt der syrischen Volkserhebung als plausibel erscheint, zumal vom Beschwerdeführer nicht geltend gemacht wurde, er sei schon zuvor einmal mit den heimatlichen Sicherheitsbehörden in einen ernsthaften Konflikt geraten. Seinen Angaben zufolge verblieb es bei früheren Vorsprachen im Wesentlichen bei blossen Kontrollen. Sodann ist aufgrund seiner Schilderungen insgesamt glaubhaft, dass der Beschwerdeführer zwischen Ende März und Mitte April 2011 nochmals vom heimatlichen Sicherheitsdienst angegangen wurde, indem er von zuhause abgeholt wurde, was soweit ersichtlich zu einer (gewollten) weiteren Einschüchterung führte. In diesem Zusammenhang bleibt festzuhalten, dass zu diesem Zeitpunkt, mithin kurz nach dem Nevroz 2011 und insbesondere nach den regimekritischen kurdischen Demonstrationen im nordsyrischen Qamishli, die Kurden vonseiten des Regimes mit überwiegender Wahrscheinlichkeit unter verschärfter Beobachtung standen. Als in kurdischen Kreisen bekannte Person (vgl. dazu nachfolgend, E. 5.2) dürfte sich der Beschwerdeführer als Ziel von zunächst noch präventiven Massnahmen geradezu angeboten haben. In Übereinstimmung mit dem BFM ist aber festzuhalten, dass die Schilderungen des Beschwerdeführers über die angeblich erlittene mehrwöchige Haft und Folter wegen des weitgehenden Fehlens von Realkennzeichen für ein deutliches Überzeichnen der tatsächlichen Abläufe sprechen. Trotz Abstrichen an seinen Vorbringen muss jedoch davon ausgegangen werden, er sei den heimatlichen Sicherheitsbehörden schon vor dem Ausbruch des Bürgerkrieges bekannt gewesen und mit der zunehmenden Verschärfung der Sicherheitslage gerade auch in B._______ von diesen ins Visier genommen worden. Das Interesse der Sicherheitsbehörden ist gerade angesichts der danach aufbrechenden Konfliktlage nachvollziehbar, zumal es sich beim Beschwerdeführer - wie von ihm geltend gemacht und nachfolgend aufgezeigt - tatsächlich um einen sehr bekannten kurdischen Musiker handeln dürfte, was von der Vorinstanz nicht erkannt worden ist.</w:t>
      </w:r>
    </w:p>
    <w:p>
      <w:r>
        <w:rPr>
          <w:b/>
        </w:rPr>
        <w:t>E. 5.2</w:t>
      </w:r>
    </w:p>
    <w:p>
      <w:r>
        <w:t>Der Beschwerdeführer hat im erstinstanzlichen Verfahren mehrfach auf seine umfangreichen Aktivitäten als kurdischer Musiker hingewiesen und diesbezüglich Beweismittel vorgelegt. Dieser Aspekt wurde vom BFM nur am Rande behandelt respektive als weitgehend irrelevant dargestellt. Aufgrund der vorgelegten Beweismittel - der auf dem vorerwähnten Datenträger (USB-Stick) verzeichneten Fotos und insbesondere der Videoaufzeichnungen - ist der Beschwerdeführer in kurdischen Kreisen jedoch schon seit Jahren als Musiker sehr bekannt. So handelt es sich bei ihm nicht bloss um einen "einfachen Musiker", wie vom BFM erwogen, sondern erkennbar um einen Musiker mit einem relevanten Berühmtheitsgrad. In dieser Hinsicht sticht unter den vorgelegten Videodokumenten besonders eine (undatierte) Aufnahme eines Auftritts im Rahmen eines Grossanlasses in Syrien heraus. Der Beschwerdeführer ist gemäss dieser Aufnahme (der erste Teil der Videodatei mit einer Laufzeit von insgesamt 26:35 Minuten Dauer) zusammen mit einer kleinen Sängergruppe und einem Begleitmusiker auf der Hauptbühne einer Freilicht-Gross­ver­anstal­tung aufgetreten, als tragender Spieler der Gruppe (...). Dieser Auftritt wurde gemäss Videodokument mindestens von hunderten, eher aber von mehreren tausend Kurden verfolgt. Dabei hatte die Veranstaltung gemäss der Aufnahme keineswegs bloss einen kulturellen Hintergrund, wurde doch gegen Ende des Auftritts vor der Masse der Zuschauer von einer Gruppe von Männern an einem Berghang auch eine riesige kurdische Flagge entrollt (vgl. a.a.O., ab 12:55 Minuten). Vom Beschwerdeführer wurde ein zweites Videodokument vorgelegt, welches einen Auftritt des Beschwerdeführers mit einer Gruppe von Musikern im Rahmen einer Sendung des (...) Fernsehsenders G._______ zeigt (aus technischen Gründen waren für das Gericht nur 29 Sekunden der Aufzeichnung visionierbar). Auf eine detaillierte Auseinandersetzung mit den vorgelegten Fotos und dem zweiten Teil der oben erwähnten Videodatei, in welcher der Beschwerdeführer bei einer Hochzeit und einer anderen kurdisch-alevitischen Veranstaltung gezeigt wird, kann verzichtet werden, da ein relevanter Bekanntheitsgrad in kurdischen Kreise bereits aufgrund der oben beschriebenen Teilnahme an einer Grossveranstaltung als gegeben zu erkennen ist. Das Vorbringen des Beschwerdeführers, er sei den heimatlichen Sicherheitsbehörden wegen seiner Aktivitäten als Musiker in kurdischen Kreisen schon seit langem persönlich bekannt und er sei deswegen wiederholt angegangen und verwarnt worden, vermag aufgrund der Aktenlage zu überzeugen. Dass der Beschwerdeführer ab dem Frühjahr 2011 zunehmend unter Druck geraten sein dürfte, wurde vorstehend aufgezeigt (E. 5.1).</w:t>
      </w:r>
    </w:p>
    <w:p>
      <w:r>
        <w:rPr>
          <w:b/>
        </w:rPr>
        <w:t>E. 5.3</w:t>
      </w:r>
    </w:p>
    <w:p>
      <w:r>
        <w:t>Diese Umstände sind insofern von Bedeutung, als sich die politische und menschenrechtliche Lage in Syrien seit der Ausreise des Beschwerdeführers im Frühjahr 2011 in erheblicher Weise verändert, mithin drastisch verschlechtert hat. Zwar stehen in der derzeitigen Bürgerkriegslage die Kurden momentan nicht als erste im Fokus des syrischen Regimes. Das zunehmend eigenständige Auftreten der Kurden, bei gleichzeitiger Bewaffnung eigener Verbände, steht jedoch in direktem Widerspruch zu den Interessen des Regimes, welches schon früher jeglichen autonomistischen oder gar sezessionistischen Tendenzen der Kurden konsequent entgegnet ist. Vor dem aktuellen länderspezifischen Hintergrund, wonach die syrischen Behörden brutal und rücksichtslos gegen tatsächliche und bloss vermeintliche Regimegegner vorgehen (vgl. das Referenzurteil D-5779/2013 vom 25. Feb­ruar 2015, E. 5.7.2), muss zum heutigen Zeitpunkt geschlossen werden, dass der Beschwerdeführer aufgrund seines Bekanntheitsgrades in kurdischen Kreisen ein relevantes Profil aufweist, indem er den syrischen Sicherheitskräften persönlich bekannt ist und mit erheblicher Wahrscheinlichkeit dem Kreis der potentiellen Regimegegner zugerechnet wird (vgl. a.a.O., E. 5.8). Dem Beschwerdeführer kann vor dem Hintergrund der heute in Syrien herrschenden Verhältnisse nicht entgegen gehalten werden, durch seine Tätigkeit als Musiker habe er sich in erster Linie in einem kulturellen Umfeld und nicht mit einem politischen Engagement exponiert. Diese Grenzen sind im Kontext des syrischen Bürgerkrieges und mit Blick auf das willkürliche Vorgehen der syrischen Sicherheitskräfte gegen alle möglichen Staatsfeinde längst verwischt, weshalb aufgrund der bereits vor seiner Ausreise bestehenden Exposition des Beschwerdeführers von einer Verfolgungsgefahr im Sinne von Art. 3 AsylG auszugehen ist. Die Auffassung der Vorinstanz, wonach er alleine wegen seiner Betätigung als kurdischer Musiker die Flüchtlingseigenschaft nicht erfüllt, vermag daher im Urteilszeitpunkt nicht mehr zu überzeugen. Eine innerstaatliche Fluchtalternative ist gemäss den Erwägungen im erwähnten Referenzurteil ebenfalls zu verneinen (vgl. a.a.O., E. 5.9).</w:t>
      </w:r>
    </w:p>
    <w:p>
      <w:r>
        <w:rPr>
          <w:b/>
        </w:rPr>
        <w:t>E. 6.1</w:t>
      </w:r>
    </w:p>
    <w:p>
      <w:r>
        <w:t>Nach vorstehenden Erwägungen ergibt sich, dass der Beschwerdeführer die Flüchtlingseigenschaft gemäss Art. 3 Abs. 1 und 2 AsylG erfüllt. Eine Prüfung allfälliger subjektiver Nachfluchtgründe (im Sinne von Art. 54 AsylG) kann bei dieser Sachlage unterbleiben, womit auf eine Auseinandersetzung mit den diesbezüglichen Erwägungen der Vorinstanz und Vorbringen des Beschwerdeführers verzichtet werden kann.</w:t>
      </w:r>
    </w:p>
    <w:p>
      <w:r>
        <w:rPr>
          <w:b/>
        </w:rPr>
        <w:t>E. 6.2</w:t>
      </w:r>
    </w:p>
    <w:p>
      <w:r>
        <w:t>Nach dem Gesagten ist das SEM anzuweisen, den Beschwerdeführer als Flüchtling zu anerkennen und ihm in der Schweiz Asyl zu gewähren.</w:t>
      </w:r>
    </w:p>
    <w:p>
      <w:r>
        <w:rPr>
          <w:b/>
        </w:rPr>
        <w:t>E. 6.3</w:t>
      </w:r>
    </w:p>
    <w:p>
      <w:r>
        <w:t>Das SEM ist gehalten, der Asylgewährung des Beschwerdeführers im Rahmen der Behandlung der Asylgesuche seiner Ehefrau und Kinder die gebührende Beachtung zu schenken.</w:t>
      </w:r>
    </w:p>
    <w:p>
      <w:r>
        <w:rPr>
          <w:b/>
        </w:rPr>
        <w:t>E. 7.1</w:t>
      </w:r>
    </w:p>
    <w:p>
      <w:r>
        <w:t>Bei diesem Ausgang des Verfahrens sind keine Kosten zu erheben (Art. 63 Abs. 1 - 3 VwVG).</w:t>
      </w:r>
    </w:p>
    <w:p>
      <w:r>
        <w:rPr>
          <w:b/>
        </w:rPr>
        <w:t>E. 7.2</w:t>
      </w:r>
    </w:p>
    <w:p>
      <w:r>
        <w:t>Gemäss Art. 64 Abs. 1 VwVG kann die Beschwerdeinstanz der ganz oder teilweise obsiegenden Partei von Amtes wegen oder auf Begehren eine Entschädigung für die ihr erwachsenen notwendigen und verhältnismässig hohen Kosten zusprechen (vgl. dazu Art. 7 ff. des Reglements über die Kosten und Entschädigungen vor dem Bundesverwaltungsgericht vom 21. Februar 2008 [VGKE, SR 173.320.2]). Von den Rechtsvertretern des Beschwerdeführers wurde keine Kostennote eingereicht, auf die Nachforderung einer solchen kann indes verzichtet werden (vgl. Art. 14 Abs. 2 VGKE), da der sachlich notwendige Aufwand für die Beschwerdeführung aufgrund der Akten abgeschätzt werden kann. Gestützt auf die in Betracht zu ziehenden Bemessungsfaktoren (Art. 9-13 VGKE) ist die Parteientschädigung daher aufgrund der Aktenlage auf Fr. 1'600.- (inkl. Auslagen und Mehrwertsteuer) festzusetzen. Dieser Betrag ist dem Beschwerdeführer durch das SEM zu entrichten.</w:t>
      </w:r>
    </w:p>
    <w:p>
      <w:r>
        <w:rPr>
          <w:b/>
        </w:rPr>
        <w:t>E. 8</w:t>
      </w:r>
    </w:p>
    <w:p>
      <w:r>
        <w:t>Aus den Akten folgt, dass der Beschwerdeführer in seinem Asylverfahren verschiedene Vollmachten zur Rechtsvertretung unterzeichnet hat. Im Urteilszeitpunkt kann aus prozessökonomischen Gründen auf Instruktionsmassnahmen zur Bestimmung einer gemeinsamen Zustelladresse (gemäss Art. 12 Abs. 2 AsylG) verzichtet werden, da alle Rechtsvertreter durch Zustellung einer Urteilskopie über den Abschluss des vorliegenden Verfahrens in Kenntnis gesetzt werden können.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