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D-3473/2006 vom 20. Februar 2009</w:t>
      </w:r>
    </w:p>
    <w:p>
      <w:r>
        <w:t>Bundesverwaltungsgericht, 2009-02-20, DE</w:t>
      </w:r>
    </w:p>
    <w:p>
      <w:r>
        <w:rPr>
          <w:b/>
        </w:rPr>
        <w:t xml:space="preserve">Quelle: </w:t>
      </w:r>
      <w:r>
        <w:t>https://mcp.opencaselaw.ch/entscheid/bvger_D-3473_2006</w:t>
      </w:r>
    </w:p>
    <w:p>
      <w:r>
        <w:t>FR: TAF D-3473/2006 du 20 février 2009</w:t>
      </w:r>
    </w:p>
    <w:p>
      <w:r>
        <w:t>IT: TAF D-3473/2006 del 20 febbraio 2009</w:t>
      </w:r>
    </w:p>
    <w:p>
      <w:pPr>
        <w:pStyle w:val="Heading2"/>
      </w:pPr>
      <w:r>
        <w:t>Regeste</w:t>
      </w:r>
    </w:p>
    <w:p>
      <w:r>
        <w:t>Asyl und Wegweisung</w:t>
      </w:r>
    </w:p>
    <w:p>
      <w:pPr>
        <w:pStyle w:val="Heading2"/>
      </w:pPr>
      <w:r>
        <w:t>Erwägungen</w:t>
      </w:r>
    </w:p>
    <w:p>
      <w:r>
        <w:rPr>
          <w:b/>
        </w:rPr>
        <w:t>E. 1.1</w:t>
      </w:r>
    </w:p>
    <w:p>
      <w:r>
        <w:t>Gemäss Art. 31 des Verwaltungsgerichtsgesetztes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Bundesverwaltungsgerichtes.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Bundesgerichtsgesetztes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Art. 52 VwVG). Auf die Beschwerde ist einzutreten.</w:t>
      </w:r>
    </w:p>
    <w:p>
      <w:r>
        <w:rPr>
          <w:b/>
        </w:rPr>
        <w:t>E. 2</w:t>
      </w:r>
    </w:p>
    <w:p>
      <w:r>
        <w:t>Mit Beschwerde kann die Verletzung von Bundesrecht, die unrichtige oder unvollständige Feststellung des rechtserheblichen Sachverhaltes und die Unangemessenheit gerügt werden (Art. 106 Abs. 1 AsylG).</w:t>
      </w:r>
    </w:p>
    <w:p>
      <w:r>
        <w:rPr>
          <w:b/>
        </w:rPr>
        <w:t>E. 3</w:t>
      </w:r>
    </w:p>
    <w:p>
      <w:r>
        <w:t>Antragsgemäss werden die Beschwerdeverfahren von A._______ (N ...; D-3473/2006) und I._______ (N ...; D-5622/2006) koordiniert behandelt und daher vom selben Spruchgremium beurteilt.</w:t>
      </w:r>
    </w:p>
    <w:p>
      <w:r>
        <w:rPr>
          <w:b/>
        </w:rPr>
        <w:t>E. 4.1</w:t>
      </w:r>
    </w:p>
    <w:p>
      <w:r>
        <w:t>In seiner Beschwerdeeingabe vom 15. Juli 2004 rügt der Beschwerdeführer in formeller Hinsicht eine Verletzung des rechtlichen Gehörs (Art. 29 der Bundesverfassung der Schweizerischen Eidgenossenschaft vom 18. April 1999 [BV, SR 101]) und beantragt zudem die Feststellung der Befangenheit des wissenschaftlichen Mitarbeiters (Art. 29 BV i.V.m. Art. 10 VwVG) des BFF.</w:t>
      </w:r>
    </w:p>
    <w:p>
      <w:r>
        <w:rPr>
          <w:b/>
        </w:rPr>
        <w:t>E. 4.2</w:t>
      </w:r>
    </w:p>
    <w:p>
      <w:r>
        <w:t>In Bezug auf die Verletzung des rechtlichen Gehörs bringt der Beschwerdeführer vor, der BFF-Sachbearbeiter habe bei der ergänzenden Anhörung gedroht, falls er seinen Fragen weiterhin ausweiche, einen Nichteintretensentscheid zu fällen. Er sei zudem vom Sachbearbeiter beim Antworten unterbrochen worden, und ihm sei wiederholt gedroht worden, auf das Gesuch werde nicht eingetreten. Am Ende der Befragung sei er zwar gefragt worden, ob er noch Ergänzungen vorzubringen habe, habe aber keine Gelegenheit zum Antworten bekommen.</w:t>
      </w:r>
    </w:p>
    <w:p>
      <w:r>
        <w:rPr>
          <w:b/>
        </w:rPr>
        <w:t>E. 4.2.1</w:t>
      </w:r>
    </w:p>
    <w:p>
      <w:r>
        <w:t>Die Asylbehörde hat den rechtserheblichen Sachverhalt von Amtes wegen festzustellen (Art. 6 AsylG i.V.m. Art. 12 VwVG). Der Grundsatz des rechtlichen Gehörs (Art. 29 Abs. 2 BV, Art. 29 VwVG, Art. 32 Abs. 1 VwVG) verlangt dabei, dass die verfügende Behörde die Vorbringen des Betroffenen tatsächlich hört, sorgfältig und ernsthaft prüft und in der Entscheidfindung berücksichtigt, was sich entsprechend in der Entscheidbegründung niederschlagen muss (vgl. Entscheidungen und Mitteilungen der Schweizerischen Asylrekurskommission [EMARK] 2004 Nr. 38 E. 6.3 S. 264).</w:t>
      </w:r>
    </w:p>
    <w:p>
      <w:r>
        <w:rPr>
          <w:b/>
        </w:rPr>
        <w:t>E. 4.2.2</w:t>
      </w:r>
    </w:p>
    <w:p>
      <w:r>
        <w:t>Das Bundesverwaltungsgericht stellt fest, dass der Beschwerdeführer vor der kritischen Befragung vom 8. Juni 2004 bereits am 7. August 2003 befragt und am 1. Juli 2003 angehört worden war. Es kann davon ausgegangen werden, dass der Beschwerdeführer anlässlich dieser beiden unproblematischen, beziehungsweise unbestrittenen Befragungen den Sachverhalt genügend erläutern konnte und dieser somit als genügend erstellt angesehen werden kann. Vorliegend ergibt sich aus den Akten, dass sich der Sachbearbeiter mit den Vorbringen und Argumenten des Beschwerdeführers in genügender Weise auseinandergesetzt hat. So wird in der Verfügung des BFF vom 14. Juni 2004 auf die Befragung an der Empfangsstelle wie auch auf die kantonale Anhörung eingegangen, weshalb davon auszugehen ist, dass alle Vorbringen des Beschwerdeführers tatsächlich gehört und berücksichtigt wurden. Es kann demzufolge nicht von einer Verletzung des rechtlichen Gehörs gesprochen werden.</w:t>
      </w:r>
    </w:p>
    <w:p>
      <w:r>
        <w:rPr>
          <w:b/>
        </w:rPr>
        <w:t>E. 4.3</w:t>
      </w:r>
    </w:p>
    <w:p>
      <w:r>
        <w:t>Der Beschwerdeführer beantragte in seiner Rechtsmitteleingabe im Weiteren die Feststellung der Befangenheit des Sachbearbeiters, da dieser in wiederholter Weise den Anschein erweckt habe, er glaube dem Beschwerdeführer nicht und sei deshalb als offensichtlich befangen zu bezeichnen.</w:t>
      </w:r>
    </w:p>
    <w:p>
      <w:r>
        <w:rPr>
          <w:b/>
        </w:rPr>
        <w:t>E. 4.3.1</w:t>
      </w:r>
    </w:p>
    <w:p>
      <w:r>
        <w:t>In casu ist allein über den Ausstandsgrund gemäss Art. 10 Abs. 1 Bst. d VwVG (Befangenheit in der Sache aus anderen Gründen) zu befinden, da die anderen Ausstandsgründe nicht geltend gemacht werden und offensichtlich nicht in Betracht fallen. Soweit der Beschwerdeführer die Feststellung der Befangenheit des Sachbearbeiters des BFF beantragt, ist zunächst anzumerken, dass Art. 10 Abs. 1 Bst. d VwVG nicht eine tatsächliche Befangenheit der mit der Sache betrauten Person verlangt, sondern dass es genügt, wenn bei einer objektiven Betrachtung stichhaltiger Anlass besteht, die betraute Person als befangen zu erachten beziehungsweise der Anschein der Befangenheit vorliegt (vgl. dazu RETO FELLER, in: AUER / MÜLLER / SCHINDLER (Hrsg.), Kommentar VwVG, Art. 10 N 16). Bei der Beurteilung des Anscheins der Befangenheit und der Gewichtung solcher Umstände kann jedoch nicht auf das subjektive Empfinden einer Partei abgestellt werden; so stellt zum Beispiel ein subjektiv wahrgenommenes unfreundliches Verhalten während der Prüfung noch keinen Grund für die Annahme einer Befangenheit dar (vgl. Urteil des Bundesverwaltungsgerichts BVGE B-2209/2007 vom 2. Juli 2007 E. 6.2 S. 16 f.). Bei verwaltungsinternen Verfahren darf bezüglich der Unbefangenheit des Instruierenden nicht der gleiche strenge Massstab wie für unabhängige richterliche Behörden zur Anwendung gebracht werden, sodass die Beurteilung der Unabhängigkeit regelmässig weniger streng ausfällt, wenn eine Verwaltungsbehörde entscheidet. Immerhin ist ein sich aufdrängender Anschein der Befangenheit zu vermeiden, selbst wenn für Unbefangenheit und Unparteilichkeit nicht die für ein Gerichtsmitglied geltenden Massstäbe anzuwenden sind (vgl. Urteil des Bundesverwaltungsgerichts B-6251/2007 vom 1. Oktober 2008 E. 3 S. 16 ff. mit weiteren Hinweisen).</w:t>
      </w:r>
    </w:p>
    <w:p>
      <w:r>
        <w:rPr>
          <w:b/>
        </w:rPr>
        <w:t>E. 4.3.2</w:t>
      </w:r>
    </w:p>
    <w:p>
      <w:r>
        <w:t>Es ist dem Beschwerdeführer zuzustimmen, dass die Befragung vom 8. Juni 2004 in einem teilweise angespannten Klima stattfand und sich der Sachbearbeiter in gewissen Abschnitten der Anhörung offensichtlich genervt zeigte (vgl. A13 S. 4, 7, 9 f., 13 f.). Jedoch kann bloss aufgrund unpassender Äusserungen nicht per se auf eine objektiv begründbare Befangenheit geschlossen werden. Wie bereits erwähnt genügt die blosse subjektive Wahrnehmung eines unfreundlichen Verhaltens nicht, um die Befangenheit bejahen zu können, sondern es sind gerade die objektiven Merkmale welche ausschlaggebend sind. Da in casu aus der angefochtenen Verfügung ersichtlich wird, dass sich der Sachbearbeiter, wie bereits erwähnt (E. 4.2.2), anhand der vorgängigen Befragung beziehungsweise Anhörung mit dem Sachverhalt auseinandergesetzt und diesen hinreichend gewürdigt hat, ist insgesamt eine objektiv begründbare Befangenheit des Sachbearbeiters zu verneinen. Ergänzend ist festzuhalten, dass seitens der bei der Anhörung anwesenden Hilfswerksvertreterin keine Einwände vorgebracht wurden und der Eindruck, dass der Beschwerdeführer den Fragen teilweise bewusst ausgewichen ist und erst auf wiederholtes Nachfragen geantwortet hat (vgl. A13 S. 7, 12 f. ), nicht von der Hand zu weisen ist.</w:t>
      </w:r>
    </w:p>
    <w:p>
      <w:r>
        <w:rPr>
          <w:b/>
        </w:rPr>
        <w:t>E. 4.4</w:t>
      </w:r>
    </w:p>
    <w:p>
      <w:r>
        <w:t>Bei dieser Sachlage besteht somit keine Veranlassung die angefochtene Verfügung aus formellen Gründen aufzuheben.</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lehnte das Asylgesuch des Beschwerdeführers ab, da seine Angaben den Anforderungen an die Flüchtlingseigenschaft gemäss Art. 3 AsylG und denen an die Glaubhaftigkeit gemäss Art. 7 AsylG nicht standhielten. Sie stellte im Wesentlichen fest, dass die Vorbringen des Beschwerdeführers in zahlreichen Punkten unglaubhaft, widersprüchlich und unlogisch ausgefallen sind, weshalb auf die Asylrelevanz der Vorbringen nicht näher einzugehen sei. Die Wegweisung sei zudem in Anbetracht der politischen Situation wie auch der persönlichen Gründe zumutbar und ausserdem möglich und zulässig.</w:t>
      </w:r>
    </w:p>
    <w:p>
      <w:r>
        <w:rPr>
          <w:b/>
        </w:rPr>
        <w:t>E. 6.2</w:t>
      </w:r>
    </w:p>
    <w:p>
      <w:r>
        <w:t>In der Beschwerde wird demgegenüber geltend gemacht, dass entgegen der vorinstanzlichen Einschätzungen die Vorbringen des Beschwerdeführers asylrelevant seien und die Rückführung in den Heimatstaat aufgrund seiner Zugehörigkeit zu den Maobadis unzumutbar, wenn nicht auch unzulässig sei. Sodann macht der Beschwerdeführer auf die Fortführung seines politischen Engagements im schweizerischen Exil und die dadurch zusätzlich entstandenen Verfolgungskomponenten aufmerksam. Diese Vorbringen werden durch Beschwerdeergänzungen vom 8. Juni 2005 und vom 13. März 2007 untermauert.</w:t>
      </w:r>
    </w:p>
    <w:p>
      <w:r>
        <w:rPr>
          <w:b/>
        </w:rPr>
        <w:t>E. 7.1</w:t>
      </w:r>
    </w:p>
    <w:p>
      <w:r>
        <w:t>Für die Beurteilung der Flüchtlingseigenschaft ist die Situation im Zeitpunkt des Asylentscheides massgebend. Dabei ist einerseits die Frage nach der im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des Gesuchstellers zu berücksichtigen (vgl. BVGE 2008/4 E. 5.4 S. 38 f.).</w:t>
      </w:r>
    </w:p>
    <w:p>
      <w:r>
        <w:rPr>
          <w:b/>
        </w:rPr>
        <w:t>E. 7.2</w:t>
      </w:r>
    </w:p>
    <w:p>
      <w:r>
        <w:t>Unabhängig von der Frage, ob die Vorbringen des Beschwerdeführers als glaubhaft zu beurteilen sind oder ob man das Vorhandensein einer exilpolitischen Tätigkeit und somit einer künftigen Verfolgung bejahen kann, ist im heutigen Zeitpunkt festzustellen, dass sich die allgemeine Lage in Nepal seit der Ausreise des Beschwerdeführers wesentlich verändert hat. Bereits die ARK hat die allgemeine Situation in Nepal ausführlich beurteilt und festgestellt, die allgemeine Sicherheits- und Menschenrechtslage habe sich seit der Aufnahme von Friedensverhandlungen zwischen den Maoisten ("Communist Party of Nepal" [CPN-M]) und der Regierung beziehungsweise der Verkündung der Maoisten vom 28. Juli 2006, den Waffenstillstand zu verlängern, erheblich verbessert (vgl. dazu Entscheidungen und Mitteilungen der Schweizerischen Asylrekurskommission [EMARK] 2006 Nr. 31 E. 4.3.4 und E. 4.3.5 S. 332 ff.). Seither hat sich die Lage weiter wesentlich verbessert. Am 21. November 2006 unterzeichneten die Regierung und die Maoisten ein Friedensabkommen. Gemäss diesem Vertrag beteiligten sich die Maoisten am Übergangsparlament und stellten 73 der 330 Abgeordneten. Im Dezember 2006 wurde die Interimsverfassung verabschiedet. Am 15. Januar 2007 beschloss das Übergangsparlament seine Auflösung, und es erfolgte die Neubestellung des interimistischen Parlaments, welchem 83 Abgeordnete der Maoisten angehörten. Nach einigen Verzögerungen wurde am 16. Januar 2007 mit der Entwaffnung der Maoisten begonnen. Am 10. April 2008 erfolgte die Wahl der verfassungsgebenden Versammlung. Dabei wurden die Maoisten vor dem Nepali Congress zur stärksten Kraft. Am 28. Mai 2008 kam die verfassungsgebende Versammlung zu ihrer ersten Sitzung zusammen. Gleich zu Beginn der konstituierenden Sitzung schuf die Versammlung die fast 240 Jahre alte Monarchie ab und erklärte das Land zur Republik. Am 11. Juni 2008 verliess der entmachtete Monarch Nepals, König Gyandendra, seinen Palast in Kathmandu. Die verfassungsgebende Versammlung wählte schliesslich am 21. Juli 2008 Ram Baran Yadav vom Nepali Congress zum ersten Präsidenten der Republik und am 15. August 2008 wählte sie den Chef der Maoisten, Pushpa Kamal Dahal (Prachanda), zum Ministerpräsidenten. Die Maoisten sind somit in den politischen Prozess eingebunden worden, was zu einer weiteren Stabilisierung der Lage in Nepal führen dürfte. Die Parteien in der verfassungsgebenden Versammlung haben sich denn auch für die Schaffung einer neuen Verfassung am 17. November 2008 den 28. Mai 2010 als Frist gesetzt (vgl. zum Ganzen beispielsweise http://www.crisisgroup.org &gt; reports by region &gt; asia &gt; south asia &gt; nepal; final report on the Constituent Assembly Election on 10 April 2008, http://ec.europa.eu/external_relations/human_rights/eu_election_ass_observer/nepal/index.htm, besucht am 19. Januar 2009; http://www.nzz.ch/nachrichten/international/neue_verfassung_fuer_nepal_bis_mai_2010_1-1274060.html, besucht am 19. Januar 2009). In Anbetracht dieser Entwicklung geht das Bundesverwaltungsgericht davon aus, dass für den Beschwerdeführer im heutigen Zeitpunkt - selbst wenn seine Sachdarstellung als glaubhaft betrachtet wird - weder seitens der Maoisten noch der nepalesischen Armee begründete Furcht vor einer künftigen Verfolgung besteht. An dieser Einschätzung vermag auch das exilpolitische Engagement des Beschwerdeführers nichts zu ändern.</w:t>
      </w:r>
    </w:p>
    <w:p>
      <w:r>
        <w:rPr>
          <w:b/>
        </w:rPr>
        <w:t>E. 7.3</w:t>
      </w:r>
    </w:p>
    <w:p>
      <w:r>
        <w:t>Zusammenfassend folgt, dass der Beschwerdeführer keine Gründe nach Art. 3 AsylG nachweisen oder glaubhaft machen konnte. Die Vorinstanz hat das Asylgesuch des Beschwerdeführers demnach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Rechtstellung der Flüchtlinge [FK, SR 0.142.30]). Gemäss Art. 25 Abs. 3 der Bundesverfassung der Schweizerischen Eidgenossenschaft vom 18. April 1999 (BV, SR 101), Art. 3 des Übereinkommens vom 10. Dezember 1084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Falle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BBI 2002 3818).</w:t>
      </w:r>
    </w:p>
    <w:p>
      <w:r>
        <w:rPr>
          <w:b/>
        </w:rPr>
        <w:t>E. 9.5</w:t>
      </w:r>
    </w:p>
    <w:p>
      <w:r>
        <w:t>Eine Situation, welche den Beschwerdeführer als "Gewalt- oder de-facto-Flüchtling" qualifizieren würde, lässt sich aufgrund der heutigen Situation in Nepal nicht bejahen (vgl. EMARK 2006 Nr. 31 sowie Ziff. 4.2 hiervor). Darüber hinausgehende individuelle Unzumutbarkeitsaspekte stehen einem allfälligen Wegweisungsvollzug auch nicht entgegen. Es ist nicht davon auszugehen, dass der Beschwerdeführer bei einer Rückkehr in sein Heimatland Lebensumständen ausgesetzt wird, die ein derartiges Ausmass annehmen, dass ihm eine menschenunwürdige Existenz verunmöglicht würde. Es ist zwar nicht in Abrede zu stellen, dass der Beschwerdeführer bei einer Rückkehr nach Nepal aufgrund der mehrjährigen Landesabwesenheit mit gewissen Schwierigkeiten konfrontiert werden könnte. Jedoch verfügt der Beschwerdeführer über eine solide, zehnjährige Grundausbildung und ein vierjähriges Studium. Der - soweit aktenkundig - gesunde Beschwerdeführer kann ferner auf ein familiäres Beziehungsnetz (beide Eltern leben noch im Heimatdorf) zurückgreifen, das seine Reintegration erleichtern wird. Es liegen somit genügend Anhaltspunkte für die Annahme vor, dass der Beschwerdeführer sich bei einer Rückkehr nach Nepal aus eigener Kraft und allenfalls auch durch die Unterstützung des bestehenden familiären Umfeldes eine neue Existenzgrundlage erarbeiten kann. Bloss soziale oder wirtschaftliche Schwierigkeiten, von denen die ansässige Bevölkerung im Allgemeinen betroffen ist, genügen nicht, um eine Gefährdung im Sinne von Art. 83 Abs. 4 AuG darzustellen (vgl. die weiterhin zutreffende Praxis der ARK in EMARK 2005 Nr. 24 E. 10.1 S. 215).</w:t>
      </w:r>
    </w:p>
    <w:p>
      <w:r>
        <w:rPr>
          <w:b/>
        </w:rPr>
        <w:t>E. 9.6</w:t>
      </w:r>
    </w:p>
    <w:p>
      <w:r>
        <w:t>Gestützt auf die vorstehenden Erwägungen ist der Vollzug der Wegweisung im heutigen Zeitpunkt sowohl in genereller als auch in individueller Hinsicht als zumutbar zu erachten.</w:t>
      </w:r>
    </w:p>
    <w:p>
      <w:r>
        <w:rPr>
          <w:b/>
        </w:rPr>
        <w:t>E. 10</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11</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12</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13.1</w:t>
      </w:r>
    </w:p>
    <w:p>
      <w:r>
        <w:t>Hinsichtlich des Gesuchs um Gewährung der unentgeltlichen Rechtspflege vom 19. August 2004 gilt es festzuhalten, dass der Beschwerdeführer gemäss den vorliegenden Akten seit Oktober 2006 einer Erwerbstätigkeit nachgeht, weshalb nicht (mehr) von dessen Bedürftigkeit auszugehen ist. Das Gesuch im Sinne von Art. 65 Abs. 1 VwVG ist daher abzuweisen.</w:t>
      </w:r>
    </w:p>
    <w:p>
      <w:r>
        <w:rPr>
          <w:b/>
        </w:rPr>
        <w:t>E. 13.2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