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D-3467/2016 vom 16. Juni 2017</w:t>
      </w:r>
    </w:p>
    <w:p>
      <w:r>
        <w:t>Bundesverwaltungsgericht, 2017-06-16, DE</w:t>
      </w:r>
    </w:p>
    <w:p>
      <w:r>
        <w:rPr>
          <w:b/>
        </w:rPr>
        <w:t xml:space="preserve">Quelle: </w:t>
      </w:r>
      <w:r>
        <w:t>https://mcp.opencaselaw.ch/entscheid/bvger_D-3467_2016</w:t>
      </w:r>
    </w:p>
    <w:p>
      <w:r>
        <w:t>FR: TAF D-3467/2016 du 16 juin 2017</w:t>
      </w:r>
    </w:p>
    <w:p>
      <w:r>
        <w:t>IT: TAF D-3467/2016 del 16 giugno 2017</w:t>
      </w:r>
    </w:p>
    <w:p>
      <w:pPr>
        <w:pStyle w:val="Heading2"/>
      </w:pPr>
      <w:r>
        <w:t>Regeste</w:t>
      </w:r>
    </w:p>
    <w:p>
      <w:r>
        <w:t>Nichteintreten auf Asylgesuch und Wegweisung (Dublin-Verfahren)</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Im asylrechtlichen Beschwerdeverfahren kann die Verletzung von Bundesrecht (einschliesslich Missbrauch und Überschreiten des Ermessens) sowie die unrichtige oder unvollständige Feststellung des rechtserheblichen Sachverhalts gerügt werden (Art. 106 Abs. 1 AsylG).</w:t>
      </w:r>
    </w:p>
    <w:p>
      <w:r>
        <w:rPr>
          <w:b/>
        </w:rPr>
        <w:t>E. 1.4</w:t>
      </w:r>
    </w:p>
    <w:p>
      <w:r>
        <w:t>Bei Beschwerden gegen Nichteintretensentscheide, mit denen es das SEM ablehnt, das Asylgesuch auf seine Begründetheit hin zu überprüfen (Art. 31a Abs. 1-3 AsylG), ist die Beurteilungskompetenz des Gerichts grundsätzlich auf die Frage beschränkt, ob das SEM zu Recht auf das Asylgesuch nicht eingetreten ist (vgl. BVGE 2012/4 E. 2.2 m.w.H.)</w:t>
      </w:r>
    </w:p>
    <w:p>
      <w:r>
        <w:rPr>
          <w:b/>
        </w:rPr>
        <w:t>E. 1.5</w:t>
      </w:r>
    </w:p>
    <w:p>
      <w:r>
        <w:t>Der Beschwerdeführer ist legitimiert (Art. 48 Abs. 1 VwVG) und seine Eingabe erweist sich als frist- und formgerecht (Art. 108 Abs. 2 AsylG; Art. 52 Abs. 1 VwVG), womit auf die Beschwerde einzutreten ist.</w:t>
      </w:r>
    </w:p>
    <w:p>
      <w:r>
        <w:rPr>
          <w:b/>
        </w:rPr>
        <w:t>E. 1.6</w:t>
      </w:r>
    </w:p>
    <w:p>
      <w:r>
        <w:t>Die Beschwerde ist im Verfahren einzelrichterlicher Zuständigkeit mit Zustimmung eines zweiten Richters oder einer zweiten Richterin zu behandeln, da sie sich - wie nachfolgend aufgezeigt - im Urteilszeitpunkt als offensichtlich begründet erweist (Art. 111 Bst. e AsylG).</w:t>
      </w:r>
    </w:p>
    <w:p>
      <w:r>
        <w:rPr>
          <w:b/>
        </w:rPr>
        <w:t>E. 2.1</w:t>
      </w:r>
    </w:p>
    <w:p>
      <w:r>
        <w:t>Das Bundesverwaltungsgericht hat im Urteil D-7853/2015 vom 31. Mai 2017 (zur Publikation als Referenzurteil vorgesehen) eingehend die Entwicklung der Situation für Asylsuchende in Ungarn, insbesondere für jene, die in Anwendung der Dublin-III-VO nach Ungarn überstellt werden, analysiert. Dabei hat das Gericht das Vorhandensein zahlreicher Unzulänglichkeiten im ungarischen System festgestellt, welche namentlich den Zugang zum Asylverfahren sowie die Unterbringung der Asylsuchenden in den Transitzonen betreffen. Das Gericht hat sich sodann insbesondere mit dem am 28. März 2017 in Kraft getretenen ungarischen Rechtsakt T/13976 über "die Änderung mehrerer Gesetze zur Verschärfung des Asylverfahrens in der Überwachungszone der ungarischen Grenze" befasst. In dieser Hinsicht hat es festgestellt, dass die Umsetzung dieses Aktes, welcher rückwirkend auf sämtliche laufende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das Gericht die angefochtene Verfügung aufgehoben und die Sache zur neuen Entscheidung an das SEM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a.a.O., insbesondere E. 13).</w:t>
      </w:r>
    </w:p>
    <w:p>
      <w:r>
        <w:rPr>
          <w:b/>
        </w:rPr>
        <w:t>E. 2.2</w:t>
      </w:r>
    </w:p>
    <w:p>
      <w:r>
        <w:t>Aus den gleichen Gründen, wie im vorgenannten Referenzurteil beschrieben, ist es dem Gericht auch vorliegend nicht möglich, die Sache abschliessend zu beurteilen. Die angefochtene Verfügung ist dementsprechend aufzuheben und die Sache zur vollständigen Sachverhaltsfeststellung sowie zu neuer Entscheidung ans SEM zurückzuweisen. Die Beschwerde ist demnach gutzuheissen, ohne dass auf die Beschwerdevorbringen im Einzelnen eingegangen werden müsste.</w:t>
      </w:r>
    </w:p>
    <w:p>
      <w:r>
        <w:rPr>
          <w:b/>
        </w:rPr>
        <w:t>E. 3.1</w:t>
      </w:r>
    </w:p>
    <w:p>
      <w:r>
        <w:t>Bei diesem Ausgang des Verfahrens sind keine Kosten zu erheben (Art. 63 Abs. 1-3 VwVG).</w:t>
      </w:r>
    </w:p>
    <w:p>
      <w:r>
        <w:rPr>
          <w:b/>
        </w:rPr>
        <w:t>E. 3.2</w:t>
      </w:r>
    </w:p>
    <w:p>
      <w:r>
        <w:t>Nachdem der Beschwerdeführer mit seinem Begehren um Aufhebung der angefochtenen Verfügung durchgedrungen ist, ist ihm zulasten der Vor-instanz eine Parteientschädigung für die ihm notwendigerweise erwachsenen Kosten zuzusprechen (Art. 64 Abs. 1 VwVG; Art. 7 ff. des Reglements über die Kosten und Entschädigungen vor dem Bundesverwaltungsgericht vom 21. Februar 2008 [VGKE, SR 173.320.2]). Bei deren Bemessung ist grundsätzlich auf die Kostennote des Rechtsvertreters vom 6. Juli 2016 abzustellen (Art. 14 Abs. 1 VGKE). Der dort ausgewiesene Aufwand ist allerdings angemessen zu kürzen, da sowohl die Beschwerdeschrift vom 1. Juni 2016 als auch die Replikeingabe vom 6. Juli 2016 auf bekannten Vorlagen basieren, wie sie im Sommer 2016 von mehreren Rechtsvertretungsorganisationen verwendet wurden, was den tatsächlichen Aufwand des Rechtsvertreters deutlich gemindert haben dürfte. Zu kürzen ist die Kostennote ferner um die geltend gemachte Pauschale für Kanzleiauslagen, zumal vom Gericht nur effektiv ausgewiesene Kosten entschädigt werden. Die Parteientschädigung ist nach dem Gesagten aufgrund der Aktenlage auf Fr. 1'000.-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