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D-3467/2011 vom 11. Juli 2011</w:t>
      </w:r>
    </w:p>
    <w:p>
      <w:r>
        <w:t>Bundesverwaltungsgericht, 2011-07-11, DE</w:t>
      </w:r>
    </w:p>
    <w:p>
      <w:r>
        <w:rPr>
          <w:b/>
        </w:rPr>
        <w:t xml:space="preserve">Quelle: </w:t>
      </w:r>
      <w:r>
        <w:t>https://mcp.opencaselaw.ch/entscheid/bvger_D-3467_2011</w:t>
      </w:r>
    </w:p>
    <w:p>
      <w:r>
        <w:t>FR: TAF D-3467/2011 du 11 juillet 2011</w:t>
      </w:r>
    </w:p>
    <w:p>
      <w:r>
        <w:t>IT: TAF D-3467/2011 del 11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w:t>
      </w:r>
    </w:p>
    <w:p>
      <w:r>
        <w:t>Der Beschwerde kommt aufschiebende Wirkung zu (Art. 55 Abs. 1 VwVG) und die Vorinstanz hat in der angefochtenen Verfügung einer allfälligen Beschwerde die aufschiebende Wirkung nicht entzogen (Art. 55 Abs. 2 VwVG), weshalb auf das Rechtsbegehren, der Kanton G._______ sei anzuweisen, während des vorliegenden Verfahrens von Vollzugshandlungen abzusehen, mangels Rechtsschutzinteresses nicht einzutreten ist.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Der Beschwerdeführer macht zur Begründung seines Asylgesuchs im Wesentlichen geltend, er sei von seinem Onkel schlecht behandelt worden. Insbesondere habe dieser ihn beschimpft, einmal geschlagen und ihm wiederholt gedroht, ihn umzubringen. In Übereinstimmung mit der Vorinstanz ist dazu festzustellen, dass diese Vorbringen flüchtlingsrechtlich nicht relevant sind. Der Beschwerdeführer erfüllt die Flüchtlingseigenschaft nicht, da er keine aus einem der in Art. 3 AsylG abschliessend aufgezählten Gründe (Rasse, Religion, Nationalität, Zugehörigkeit zu einer bestimmten sozialen Gruppe oder politische Anschauungen) motivierte Verfolgung geltend macht. Aufgrund der Vorbringen des Beschwerdeführers ist davon auszugehen, einzig das getrübte Verhältnis zwischen ihm und seinem Onkel sei Grund für das vom Beschwerdeführer geschilderte Verhalten des Onkels (vgl. Akten BFM A 15/15, S. 9). Da es - wie soeben aufgezeigt - im vorliegenden Fall an einem Verfolgungsmotiv gemäss Art. 3 AsylG fehlt, kann darauf verzichtet werden, im Asylpunkt auf das Vorbringen in der Beschwerde, wonach die Behörden von Guinea bei einer Rückkehr des Beschwerdeführers nicht in der Lage sein würden, diesen vor den Übergriffen seines Onkels zu schützen, einzugehen. Der Vollständigkeit halber ist festzuhalten, dass das vom Beschwerdeführer geltend gemachte Verhalten seines Onkels im Rahmen der Zulässigkeit des Wegweisungsvollzugs zu prüfen sein wird.</w:t>
      </w:r>
    </w:p>
    <w:p>
      <w:r>
        <w:rPr>
          <w:b/>
        </w:rPr>
        <w:t>E. 5.3</w:t>
      </w:r>
    </w:p>
    <w:p>
      <w:r>
        <w:t>Aufgrund der vorstehenden Erwägungen erübrigt es sich, auf die weiteren Ausführungen in der Beschwerde einzugehen, weil sie am Ergebnis nichts ändern. Zusammenfassend ergibt sich, dass die Vorbringen des Beschwerdeführers den Anforderungen an die Flüchtlingseigenschaft nicht genügen. Das Bundesamt hat sein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(EGMR, [Grosse Kammer], Saadi gegen Italien, Urteil vom 28. Februar 2008, Beschwerde Nr. 37201/06, §§ 124-127, mit weiteren Hinweisen). Der Beschwerdeführer bringt zwar vor, er sei vor seiner Ausreise aus Guinea von seinem Onkel beschimpft, geschlagen und mit dem Tod bedroht worden. Da jedoch - wie nachfolgend in E. 7.3.4.3 aufgezeigt wird - die Möglichkeit besteht, den Beschwerdeführer bei einer Rückkehr in sein Heimatland in einer geeigneten Anstalt unterzubringen, ist er nicht gezwungen, in das Haus seines Onkels zurückzukehren, weswegen nicht davon auszugehen ist, dass er in Guinea seitens des Onkels Nachteile zu befürchten hat. Auch die allgemeine Menschenrechtssituation in Guinea lässt den Wegweisungsvollzug zum heutigen Zeitpunkt nicht als unzulässig erscheinen. Der Beschwerdeführer unterliegt als minderjährige Person den Normen des Übereinkommens vom 20. November 1989 über die Rechte des Kindes (KRK, SR 0.107). Art. 22 Abs. 2 KRK zielt darauf ab, durch Mitwirkung der Vertragsstaaten bei der Informationsbeschaffung die Familienzusammenführung zu fördern. Diese Bestimmung beschlägt indessen nur minderjährige Asylsuchende und Flüchtlinge, nicht aber ausländische Kinder, deren Asylgesuch - wie vorliegend - abgewiesen wird. Somit besteht keine völkerrechtliche Verpflichtung, im Vorfeld des Vollzugs der Wegweisung einer im Asylverfahren abgewiesenen minderjährigen Person Abklärungen über den Aufenthaltsort seiner Angehörigen vorzunehmen (EMARK 1998 Nr. 13 E. 5d.aa S. 95 f.). Das Kindeswohl gemäss Art. 3 KRK muss jedoch im Rahmen der Zumutbarkeitsprüfung von Art. 83 Abs. 4 AuG als gewichtiger Aspekt mitberücksichtigt werden (a.a.O., E. 5e.aa S. 98 f.).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(Botschaft zum Bundesgesetz über die Ausländerinnen und Ausländer vom 8. März 2002, BBl 2002 3818).</w:t>
      </w:r>
    </w:p>
    <w:p>
      <w:r>
        <w:rPr>
          <w:b/>
        </w:rPr>
        <w:t>E. 7.3.2</w:t>
      </w:r>
    </w:p>
    <w:p>
      <w:r>
        <w:t>Soweit der Beschwerdeführer in der Rechtsmittelschrift geltend macht, er habe sich trotz seines noch nicht sehr langen Aufenthalts in der Schweiz sehr gut integriert, ist vorweg festzuhalten,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solche Prüfung vorliegend nicht in Betracht fällt. Nach geltendem Recht obliegt diese Prüfung dem Kanton, der - mit Zustimmung des Bundesamtes - einer ihm nach Gesetz zugewiesenen Person auf deren Gesuch hin eine Aufenthaltsbewilligung erteilen kann, wenn wegen der fortgeschrittenen Integration ein schwerwiegender persönlicher Härtefall vorliegt (Art. 14 Abs. 2 Bst. c AsylG).</w:t>
      </w:r>
    </w:p>
    <w:p>
      <w:r>
        <w:rPr>
          <w:b/>
        </w:rPr>
        <w:t>E. 7.3.3</w:t>
      </w:r>
    </w:p>
    <w:p>
      <w:r>
        <w:t>Nach dem Tod des Staatspräsidenten Lansana Conté übernahm am 23. Dezember 2008 eine Militärjunta unter Führung von Hauptmann Moussa Dadis Camara die Macht in Guinea. Die Junta erklärte die Verfassung, die Gerichte und das Parlament für abgesetzt. Sie teilte mit, dass ein Nationaler Rat für Demokratie die Verwaltung des Landes vorübergehend übernehmen werde. Am 30. Dezember 2008 liess die Junta über den staatlichen Rundfunk verlauten, sie habe den in Ägypten lebenden Bankmanager Kabiné Komara zum neuen Ministerpräsidenten ernannt. Am 7. November 2010 fand der zweite Wahlgang der ersten freien Wahlen seit der Unabhängigkeit Guineas im Jahr 1958 statt und verlief hauptsächlich ruhig. Der gewählte Präsident Professor Alpha Condé trat am 22. Dezember 2010 sein Amt an. Seitdem haben sich die politischen Spannungen weitgehend gelegt. Im laufenden Jahr sollen ausserdem die Neuwahlen des Parlaments stattfinden, welches seit dem Militärputsch vom 23. Dezember 2008 suspendiert ist. Die allgemeine Lage in Guinea spricht daher nicht gegen die Zumutbarkeit des Vollzuges der Wegweisung.</w:t>
      </w:r>
    </w:p>
    <w:p>
      <w:r>
        <w:rPr>
          <w:b/>
        </w:rPr>
        <w:t>E. 7.3.4.1</w:t>
      </w:r>
    </w:p>
    <w:p>
      <w:r>
        <w:t>Der Wortlaut von Art. 83 Abs. 4 AuG bringt zum Ausdruck, dass aus humanitären Gründen, nicht in Erfüllung völkerrechtlicher Pflichten der Schweiz, auf den Vollzug der Wegweisung zu verzichten ist, wenn die Rückkehr in den Heimat- oder Herkunftsstaat für die betroffene Person eine konkrete Gefährdung bedeutet oder wenn andere Umstände vorliegen, die den Vollzug der Wegweisung als nicht zumutbar erscheinen lassen. Die Bestimmung lässt mithin Raum, bei der Beurteilung der Zumutbarkeit des Wegweisungsvollzuges auch Überlegungen einfliessen zu lassen, die sich unter dem Aspekt des nach Art. 3 Abs. 1 KRK zu beachtenden Kindeswohls ergeben können. Der Minderjährigkeit kommt eine zentrale Bedeutung zu, da nach weiterhin gültiger Praxis (BVGE 2009/51 E. 5.6, BVGE 2009/28 E. 9.3.2) im Falle von unbegleiteten Minderjährigen das Kindeswohl im Rahmen der Prüfung der Zumutbarkeit des Wegweisungsvollzugs mitzuberücksichtigen ist, woraus sich gleichzeitig die Verpflichtung ergibt, von Amtes wegen die spezifisch mit der Minderjährigkeit verbundenen Aspekte des Wegweisungsvollzuges abzuklären.</w:t>
      </w:r>
    </w:p>
    <w:p>
      <w:r>
        <w:rPr>
          <w:b/>
        </w:rPr>
        <w:t>E. 7.3.4.2</w:t>
      </w:r>
    </w:p>
    <w:p>
      <w:r>
        <w:t>Für die Asylbehörden ergibt sich daraus die Verpflichtung, abzuklären, welche Situation sich für eine unbegleitete minderjährige Person im Fall einer Heimkehr realistischerweise ergeben könnte. In der Praxis ist deshalb nicht nur abzuklären, ob eine minderjährige Person im Fall der Rückkehr in den Heimat- oder Herkunftsstaat im Sinne von Art. 83 Abs. 4 AuG konkret gefährdet wäre, sondern auch, ob sie zu ihren Eltern oder anderen Angehörigen zurückgeführt werden kann, und ob diese in der Lage wären, die Bedürfnisse der minderjährigen Person abzudecken. Können keine Angehörigen ausfindig gemacht werden oder ergibt sich, dass die Rückkehr zu diesen dem Kindeswohl nicht entspricht, ist weiter abzuklären, ob die minderjährige Person in der Heimat allenfalls in einer geeigneten Anstalt oder bei Drittpersonen untergebracht werden kann. Dabei genügt es nicht, bloss festzustellen, dass im Heimat- oder Herkunftsland Eltern oder andere Angehörige leben beziehungsweise dass es im betreffenden Land Einrichtungen gibt, die sich um alleinstehende Kinder oder Jugendliche kümmern. Es ist vielmehr konkret abzuklären, ob die betreffende minderjährige Person tatsächlich in ihr familiäres Umfeld zurückgeführt werden beziehungsweise ob sie - sollte das nicht möglich sein oder nicht dem Kindeswohl entsprechen - anderweitig untergebracht werden kann (vgl. EMARK 2006 Nr. 24, EMARK 2003 Nr. 5, EMRK 1998 Nr. 13), welche Praxis vom Bundesverwaltungsgericht weitergeführt wird (Urteile des Bundesverwaltungsgerichts E-6558/2009 vom 14. Dezember 2009 und D-5238/2009 vom 1. Oktober 2009). Das BFM hat daher im Hinblick auf die Anordnung des Vollzugs der Wegweisung vorgängig geeignete Massnahmen zu treffen, damit die minderjährige Person bei ihrer Rückkehr von ihren Angehörigen oder von einer Behörde beziehungsweise einer Institution, die in der Lage ist, weiterzuhelfen, in Empfang genommen wird (vgl. in diesem Sinn das Amt des Hohen Flüchtlingskommissars der Vereinten Nationen [UNHCR], Guidelines on Policies and Procedures in Dealing with Unaccompanied Children Seeking Asylum, Genf, Februar 1997, S. 11, N 9.4), wo dies in Anbetracht des Alters der betroffenen Person und damit in ihrem Interesse erforderlich erscheint. Demgegenüber können die Rückreisemodalitäten (Begleitung der minderjährigen Person, Ort und Zeit der Übergabe nach der Ankunft im Heimatland etc.) erst im unmittelbaren Vorfeld der Rückkehr geregelt werden (EMARK 1998 Nr. 13 E. 5e.bb S. 100).</w:t>
      </w:r>
    </w:p>
    <w:p>
      <w:r>
        <w:rPr>
          <w:b/>
        </w:rPr>
        <w:t>E. 7.3.4.3</w:t>
      </w:r>
    </w:p>
    <w:p>
      <w:r>
        <w:t>Aus den Akten geht hervor, dass der - soweit ersichtlich - gesunde Beschwerdeführer neben seinem Onkel und dessen Familie in Guinea über keine weiteren Verwandten verfügt. Aufgrund der Schilderungen des Beschwerdeführers würde seine Rückkehr in die Familie seines Onkels klarerweise dem Kindeswohl wiedersprechen. Daher ist zu prüfen, ob er allenfalls in einer geeigneten Anstalt oder bei Drittpersonen untergebracht werden kann. Das BFM hält diesbezüglich in der angefochtenen Verfügung zutreffend fest, dass in D._______ mehrere Organisationen (E._______ und F._______) bestehen, die sich um den minderjährigen Beschwerdeführer bei einer Rückkehr in sein Heimatland kümmern können. Daher wird der Beschwerdeführer sich nicht mehr bei seinem Onkel aufhalten müssen, sondern er wird die Möglichkeit haben, in einer Einrichtung einer der soeben genannten Organisationen unterzukommen. Da das BFM - wie in der angefochtenen Verfügung angekündigt - im Zeitpunkt der Ausreise die entsprechenden Massnahmen treffen wird, damit der Beschwerdeführer begleitet nach Guinea zurückreisen und dort von Mitarbeitern der Internationalen Organisation für Migration in Empfang genommen werden kann, ist davon auszugehen, er werde im Heimatsaat nicht in eine existenzielle Notlage geraten. Die Ausführungen in der Rechtsmitteleingabe sind nicht geeignet, eine andere Beurteilung herbeizuführen. Insbesondere vermag das Vorbringen, die vom BFM in der angefochtenen Verfügung genannten Organisationen seien gemäss ihrer Websites insbesondere darauf ausgerichtet, die Kinder wieder mit ihren Familien zu vereinigen, nicht zur Unzumutbarkeit des Wegweisungsvollzugs zu führen, zumal die Organisationen im Falle des Beschwerdeführers aufgrund dessen Vorgeschichte mit Sicherheit auf eine Zusammenführung mit seinem Onkel verzichten werden, würde dies doch dem Kindeswohl zuwiderlaufen. Aufgrund der Aktenlage und insbesondere aufgrund der vom BFM vorgenommenen Abklärungen ergeben sich jedenfalls zum Zeitpunkt der Urteilsfällung keine Anhaltspunkte dafür, der Wegweisungsvollzug nach Guinea könnte für den Beschwerdeführer unzumutbar sein. Die mit dem Vollzug beauftragte Behörde wird allenfalls auftretenden Schwierigkeiten bei der Regelung der Rückreisemodalitäten (Begleitung der minderjährigen Person, Ort und Zeit der Übergabe nach der Ankunft im Heimatland usw.) im Rahmen der Durchführung des Wegweisungsvollzugs Rechnung zu tragen haben.</w:t>
      </w:r>
    </w:p>
    <w:p>
      <w:r>
        <w:rPr>
          <w:b/>
        </w:rPr>
        <w:t>E. 7.3.5</w:t>
      </w:r>
    </w:p>
    <w:p>
      <w:r>
        <w:t>Im Rahmen einer Gesamtwürdigung sämtlicher Faktoren ist somit zusammenfassend festzuhalten, dass der Vollzug der Wegweisung des Beschwerdeführers nach Guinea als zumutbar zu erachten ist.</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nach Guinea zu bestätigen. Die Vorinstanz hat den Vollzug zur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10.1</w:t>
      </w:r>
    </w:p>
    <w:p>
      <w:r>
        <w:t>Dem Ausgang des Verfahrens entsprechend wären die Kosten dem mit seinen Begehren unterlegenen Beschwerdeführer zu überbinden (Art. 63 Abs. 1 VwVG). Dieser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davon auszugehen, dass der Beschwerdeführer bedürftig ist.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w:t>
      </w:r>
    </w:p>
    <w:p>
      <w:r>
        <w:rPr>
          <w:b/>
        </w:rPr>
        <w:t>E. 10.2</w:t>
      </w:r>
    </w:p>
    <w:p>
      <w:r>
        <w:t>Der Beschwerdeführer liess mit seiner Beschwerde auch ein Gesuch um Beiordnung eines unentgeltlichen Rechtsbeistandes stellen. Einer bedürftigen Person wird in einem für sie nicht aussichtslosen Verfahren ein Anwalt bestellt, wenn es zur Wahrung ihrer Rechte notwendig ist (Art. 65 Abs. 2 VwVG). In Verfahren, welche vom Untersuchungsgrundsatz beherrscht sind, gelten strenge Massstäbe für die Gewährung der unentgeltlichen Verbeiständung (vgl. BGE 122 I 10). In asylrechtlichen Beschwerdeverfahren geht es im Wesentlichen um die Feststellung des rechtserheblichen Sachverhalts, wobei der Untersuchungsgrundsatz gilt. Besondere Rechtskenntnisse sind daher zur wirksamen Beschwerdeführung im Regelfall nicht erforderlich, weshalb die unentgeltliche Verbeiständung im Sinne von Art. 65 Abs. 2 VwVG nur in besonderen Fällen, in welchen in rechtlicher oder tatsächlicher Hinsicht erhöhte Schwierigkeiten bestehen, gewährt wird. Im vorliegenden Verfahren hat dies nicht zugetroffen. Dem Antrag des Beschwerdeführers auf Beiordnung einer amtlichen Rechtsvertreterin nach Art. 65 Abs. 2 VwVG ist mangels Notwendigkeit daher nicht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