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D-3463/2025 vom 30. Juli 2025</w:t>
      </w:r>
    </w:p>
    <w:p>
      <w:r>
        <w:t>Bundesverwaltungsgericht, 2025-07-30, DE</w:t>
      </w:r>
    </w:p>
    <w:p>
      <w:r>
        <w:rPr>
          <w:b/>
        </w:rPr>
        <w:t xml:space="preserve">Quelle: </w:t>
      </w:r>
      <w:r>
        <w:t>https://mcp.opencaselaw.ch/entscheid/bvger_D-3463_2025</w:t>
      </w:r>
    </w:p>
    <w:p>
      <w:r>
        <w:t>FR: TAF D-3463/2025 du 30 juillet 2025</w:t>
      </w:r>
    </w:p>
    <w:p>
      <w:r>
        <w:t>IT: TAF D-3463/2025 del 30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D-3463/2025 Seite 7 und Art. 108 Abs. 2 AsylG; Art. 48 Abs. 1 sowie Art. 52 Abs. 1 VwVG). Auf die Beschwerde ist – unter Einschränkung der nachfolgenden Erwägung – einzutreten.</w:t>
      </w:r>
    </w:p>
    <w:p>
      <w:r>
        <w:rPr>
          <w:b/>
        </w:rPr>
        <w:t>E. 1.4</w:t>
      </w:r>
    </w:p>
    <w:p>
      <w:r>
        <w:t>Soweit die Beschwerdeführenden die Gewährung subsidiären Schut- zes im Sinne von Art. 78 Abs. 1 und 2 Bst. b des Vertrags über die Arbeits- weise der Europäischen Union (AEUV) beantragen, ist Folgendes festzu- stellen: Die Richtlinie 2011/95/EU des Europäischen Parlaments und des Rates vom 13. Dezember 2011 über Normen für die Anerkennung von Dritt- staatsangehörigen oder Staatenlosen als Personen mit Anspruch auf inter- nationalen Schutz, für einen einheitlichen Status für Flüchtlinge oder für Personen mit Anrecht auf subsidiären Schutz und für den Inhalt des zu ge- währenden Schutzes (Qualifikationsrichtlinie), welche im Recht der Euro- päischen Union die Voraussetzungen für die Gewährung subsidiären Schutzes regelt, ist für die Schweiz rechtlich nicht verbindlich; stattdessen sieht die schweizerische Rechtsordnung die Möglichkeit der Gewährung einer vorläufigen Aufnahme gestützt auf Art. 83 ff. AIG vor. Auf den sub- sub-eventualiter gestellten Antrag ist somit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Zunächst machten die Beschwerdeführenden verschiedene Verletzun- gen des rechtlichen Gehörs geltend. Diese Rügen sind vorab zu prüfen, da sie allenfalls geeignet sind, eine Kassation der angefochtenen Verfügung zu bewirken.</w:t>
      </w:r>
    </w:p>
    <w:p>
      <w:r>
        <w:rPr>
          <w:b/>
        </w:rPr>
        <w:t>E. 4.2.1</w:t>
      </w:r>
    </w:p>
    <w:p>
      <w:r>
        <w:t>Zur Begründung führten die Beschwerdeführenden an, die Vor- instanz habe sich ungenügend mit der Zurechenbarkeit der kriminellen Tä- tigkeiten des «tren de Aragua» zum kolumbianischen Staat auseinander- gesetzt und dies unzureichend begründet, wodurch ihr Anspruch auf recht- liches Gehör verletzt worden sei.</w:t>
      </w:r>
    </w:p>
    <w:p>
      <w:r>
        <w:t>D-3463/2025 Seite 8</w:t>
      </w:r>
    </w:p>
    <w:p>
      <w:r>
        <w:rPr>
          <w:b/>
        </w:rPr>
        <w:t>E. 4.2.2</w:t>
      </w:r>
    </w:p>
    <w:p>
      <w:r>
        <w:t>Ferner verletze auch die Begründung des SEM, wonach es dem vor- liegenden Sachverhalt offensichtlich an Asylrelevanz fehle, ihren Anspruch auf rechtliches Gehör, zumal dadurch ihr Asylgesuch ohne vertiefte, unpar- teiische und umfassende inhaltliche Prüfung abgelehnt worden sei.</w:t>
      </w:r>
    </w:p>
    <w:p>
      <w:r>
        <w:rPr>
          <w:b/>
        </w:rPr>
        <w:t>E. 4.3.1</w:t>
      </w:r>
    </w:p>
    <w:p>
      <w:r>
        <w:t>Gemäss Art. 29 VwVG haben die Parteien Anspruch auf rechtliches Gehör. Dieses umfasst insbesondere das Recht des Betroffenen, sich vor Erlass eines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m.H.).</w:t>
      </w:r>
    </w:p>
    <w:p>
      <w:r>
        <w:rPr>
          <w:b/>
        </w:rPr>
        <w:t>E. 4.3.2</w:t>
      </w:r>
    </w:p>
    <w:p>
      <w:r>
        <w:t>Die Begründungspflicht ergibt sich aus dem in Art. 29 Abs. 2 BV nor- mierten Anspruch auf rechtliches Gehör und ist in Art. 35 Abs.1 VwVG aus- drücklich geregelt. Danach obliegt es der verfügenden Behörde, alle er- heblichen Parteivorbringen zu prüfen und zu würdigen, wobei sich das Er- 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 dung des Entscheids muss so abgefasst sein, dass der Betroffene ihn ge- gebenenfalls sachgerecht anfechten kann. Die Behörde muss sich jedoch nicht mit jeder tatbeständlichen Behauptung auseinandersetzen, sondern kann sich auf die für den Entscheid wesentlichen Gesichtspunkte be- schränken (vgl. BVGE 2016/9 E. 5.1).</w:t>
      </w:r>
    </w:p>
    <w:p>
      <w:r>
        <w:rPr>
          <w:b/>
        </w:rPr>
        <w:t>E. 4.4.1</w:t>
      </w:r>
    </w:p>
    <w:p>
      <w:r>
        <w:t>Das Bundesverwaltungsgericht stellt fest, dass vorliegend keine Ver- letzung des rechtlichen Gehörs ersichtlich ist. Entgegen der Darstellung der Beschwerdeführenden ist nicht nachvollziehbar, inwiefern sich das SEM ungenügend mit den Vorbringen betreffend die Involvierung der staat- lichen Behörden in die Aktivitäten der Organisation «tren de Aragua» aus- einandergesetzt hätte. Die Vorinstanz hat ihren Entscheid mit Blick auf die Asylrelevanz der Behelligungen durch private Dritte und die Schutzfähig- keit beziehungsweise Schutzwilligkeit des kolumbianischen Staats auch</w:t>
      </w:r>
    </w:p>
    <w:p>
      <w:r>
        <w:t>D-3463/2025 Seite 9 nachvollziehbar und gebührend begründet (vgl. SEM-eAkte […]-62/10 S. 6 f.). Es war den Beschwerdeführenden – wie die Beschwerdeschrift zeigt – denn auch möglich, die vorinstanzliche Verfügung sachgerecht anzufech- ten.</w:t>
      </w:r>
    </w:p>
    <w:p>
      <w:r>
        <w:rPr>
          <w:b/>
        </w:rPr>
        <w:t>E. 4.4.2</w:t>
      </w:r>
    </w:p>
    <w:p>
      <w:r>
        <w:t>Auch erweist es sich als unzutreffend, dass das SEM durch die Fest- stellung der fehlenden Asylrelevanz auf eine inhaltliche Prüfung des Sach- verhalts verzichtet hätte. Diesbezüglich ist festzustellen, dass die Vor- instanz eine eingehende materielle Prüfung vorgenommen hat, die sich auf die Annahme stützte, der geltend gemachte Sachverhalt habe sich tatsäch- lich so zugetragen, wie von den Beschwerdeführenden vorgebracht. Ange- sichts der vorgenommenen Fiktion der Glaubhaftmachung des gesuchstel- lerischen Sachverhalts wurden die Rechte der betroffenen Personen in kei- ner Weise verletzt, weshalb auch diesbezüglich keine Verletzung des rechtlichen Gehörs festgestellt wird.</w:t>
      </w:r>
    </w:p>
    <w:p>
      <w:r>
        <w:rPr>
          <w:b/>
        </w:rPr>
        <w:t>E. 4.5</w:t>
      </w:r>
    </w:p>
    <w:p>
      <w:r>
        <w:t>Nach dem Gesagten erweisen sich die formellen Rügen als unbegrün- det, weshalb der Antrag auf Rückweisung der Sache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ablehnenden Entscheids führte die Vorinstanz im Wesentlich an, die geltend gemachte Verfolgung knüpfe nicht an ein</w:t>
      </w:r>
    </w:p>
    <w:p>
      <w:r>
        <w:t>D-3463/2025 Seite 10 asylrechtlich relevantes Motiv an, sondern erschöpfe sich in gemeinrecht- lichen Delikten privater Dritter, namentlich in Erpressungen und Drohungen seitens einer kriminellen Bande aus Venezuela. Die Motive des «tren de Aragua» seien ausschliesslich finanzieller und krimineller Natur, weshalb eine Anerkennung der Beschwerdeführenden als Flüchtlinge ausser Be- tracht falle. Auch verfüge Kolumbien grundsätzlich über ein funktionierendes Rechts- und Justizsystem, das eine effektive Strafverfolgung ermögliche. Zwar hät- ten die Beschwerdeführenden vorgebracht, die staatlichen Sicherheitsbe- hörden seien in die kriminellen Aktivitäten der Bande verwickelt, allerdings lasse sich ihren Angaben und den eingereichten Unterlagen entnehmen, dass ihre Anzeigen jeweils entgegengenommen worden, die Polizeibehör- den jeweils ausgerückt seien und Patrouillen zum Schutz der Beschwerde- führenden gesandt hätten. Auch nach ihrem Wegzug von F._______ nach Bogotá, als vermeintliche Beamte aufgetaucht seien, hätten die Sicher- heitsbehörden zeitnah reagiert und Polizeieinheiten entsandt, woraufhin die unbekannten Männer geflohen seien. Demnach sei von der Schutzwil- ligkeit und Schutzfähigkeit des kolumbianischen Staats im vorliegenden Fall auszugehen. Allerdings sei nicht von einem echten Verfolgungsinteresse seitens der Or- ganisation «tren de Aragua» an den Beschwerdeführenden auszugehen. Zwar seien sie mehrmals bedroht worden, diese Drohungen hätten sich letztlich jedoch nicht materialisiert. Dass eine Tochter aus der ersten Ehe des Beschwerdeführers 1 weiterhin in F._______ wohnhaft und stets un- behelligt geblieben sei, verdeutliche das Fehlen eines echten Verfolgungs- interesses. Insofern erweise sich die subjektive Furcht vor Verfolgung sei- tens des «tren de Aragua» als objektiv unbegründet. Schliesslich sei vorliegend auch vom Bestehen einer innerstaatlichen Auf- enthaltsalternative auszugehen. Zwar hätten die Beschwerdeführenden vorgerbacht, dass sie auch nach ihrem Wegzug nach Bogotá erneut loka- lisiert worden seien; dies sei jedoch auf den Umstand zurückzuführen, dass der Beschwerdeführer 1 ihren Aufenthaltsort irrtümlicherweise per Telefon preisgegeben habe. Insofern sei davon auszugehen, dass es den Be- schwerdeführenden – angesichts ihrer Zugehörigkeit zur kolumbianischen Mittelklasse – möglich und zumutbar sei, sich an einem anderen Ort inner- halb des Staatsgebiets niederzulassen, um sich einer allfälligen Verfolgung zu entziehen.</w:t>
      </w:r>
    </w:p>
    <w:p>
      <w:r>
        <w:t>D-3463/2025 Seite 11 Da die Beschwerdeführenden die gesetzlichen Voraussetzungen betref- fend die Flüchtlingseigenschaft und Asylgewährung offensichtlich nicht er- füllen würden, könne auf die Prüfung allfälliger Unglaubhaftigkeitselemente verzichtet werden. Demnach sei das Asylgesuch abzulehnen.</w:t>
      </w:r>
    </w:p>
    <w:p>
      <w:r>
        <w:rPr>
          <w:b/>
        </w:rPr>
        <w:t>E. 6.2</w:t>
      </w:r>
    </w:p>
    <w:p>
      <w:r>
        <w:t>In ihrer Beschwerde erwiderten die Beschwerdeführenden, der Um- stand, dass es sich bei ihren Verfolgern um nicht-staatliche Akteure handle, die in erster Linie gemeinrechtliche Delikte begehen würden, stehe einer Asylgewährung nicht entgegen. Sowohl das Römer Statut und die Recht- sprechung des Internationalen Strafgerichtshofs wie auch die ad-hoc-Straf- gerichte für das ehemalige Jugoslawien und für Ruanda sowie die Richtli- nien der International Law Commission (ILC) würden ausdrücklich auf die Verantwortlichkeit staatlicher Organe für Handlungen privater Akteure hin- weisen, sofern diese Handlungen mit Billigung oder Duldung seitens der Behörden erfolgten. Sie hätten anlässlich der Anhörungen glaubhaft dargetan, dass die krimi- nellen Handlungen gegen sie unter der Komplizenschaft oder zumindest der Duldung seitens der staatlichen Organe verübt worden seien. Der Um- stand, dass ein Beamter ihm, dem Beschwerdeführer 1, mit sarkastischem Unterton mitgeteilt habe, der Polizeichef sei auch in die Tätigkeiten der Or- ganisation «tren de Aragua» involviert, zeige die Komplizenschaft der staatlichen Behörden. Auch die Tatsache, dass ein Beamter der GAULA seinen Aufenthaltsort nur zwecks Weiterleitung an die Mitglieder des «tren de Aragua» erfragt habe, verdeutliche die staatliche Einbindung in die kri- minellen Machenschaften der Organisation. Insofern seien die Tätigkeiten der Organisation dem kolumbianischen Staat zuzurechnen. Deshalb sei auch nicht erforderlich, dass der Staat die Verfolgungshandlungen unmit- telbar selber ausführe, ein funktionaler oder struktureller Zusammenhang zwischen den staatlichen Behörden und den Handlungen privater Dritter sei für die Zurechnung hinreichend. Es greife daher zu kurz, die Aktivitäten des «tren de Aragua» als kriminelle Akte darzustellen, denen aufgrund ihrer gemeinrechtlichen Deliktnatur keine Asylrelevanz zukomme. Vielmehr handle es sich bei diesen um systematische, transnationale und struktu- rierte Verfolgung, die sich gezielt gegen bestimmte Bevölkerungsgruppen richte. Aufgrund der hierarchischen Organisation, der territorialen Kon- trolle, der Verbindungen zu anderen kriminellen Organisationen, des Ein- flussbereichs auf dem gesamten Staatsgebiets Kolumbiens sowie der Prä- senz in mindestens acht lateinamerikanischen Staaten, stelle der «tren de Aragua» keine gewöhnliche kriminelle Organisation, sondern einen Verfol- ger im Sinne von Art. 3 AsylG beziehungsweise von Art. 33 der Genfer</w:t>
      </w:r>
    </w:p>
    <w:p>
      <w:r>
        <w:t>D-3463/2025 Seite 12 Flüchtlingskonvention dar. Insofern seien die Gewaltakte nicht lediglich als gemeinrechtliche Delikte mit wirtschaftlichen Motiven zu verstehen, son- dern als ideologisch geprägte Gewalt gegen Personen, die als Hindernis der Ausweitung ihrer Machtausübung wahrgenommen würden. Somit knüpfe die erlittene Verfolgung an ein asylrelevantes Motiv im Sinne des Asylgesetzes an. Des Weiteren sei ein Motiv auch deshalb zu bejahen, weil sie, die Beschwerdeführenden, sich als Opfer einer Zwangsvertreibung und wiederholter Verfolgung durch den «tren de Aragua» geweigert hätten, mit ihnen zu kooperieren. Somit würden sie zu einer bestimmten sozialen Gruppe im Sinne des Asylrechts gehören. Ferner sei der kolumbianische Staat weder schutzfähig noch schutzwillig, zumal notorisch sei, dass der Einfluss des «tren de Aragua» bis weit in die Strukturen der staatlichen Sicherheitsbehörden reichen würden. So seien etwa zahlreiche Unternehmen in Cúcuta und in F._______ gezwungen, Schutzgeldzahlungen zu leisten oder unfreiwillig Drogen zu vertreiben, während Anzeigen bei den Sicherheitsbehörden wirkungslos bleiben wür- den. In ihrem Fall hätten die staatlichen Behörden ihnen nicht nur jeglichen Schutz verweigert, sondern die kriminellen Akte ihrer Verfolger ermöglicht, geduldet beziehungsweise passiv hingenommen. Ausserdem seien die Massnahmen, welche die kolumbianischen Behörden in ihrem Fall ergrif- fen hätten – namentlich sporadisches Patrouillieren und die blosse Entge- gennahme von Anzeigen –, als unwirksam zu qualifizieren. Sie – die Be- schwerdeführenden – hätten ihrerseits jedoch alles ihnen Mögliche und Zu- mutbare versucht, um staatlichen Schutz zu erhalten. So hätten sie sich an die Generalstaatsanwaltschaft, an die Defensoría de Pueblo und die Nati- onalpolizei gewendet; der Staat habe sich jedoch damit begnügt, ihnen ein- fache Empfehlungen zum Selbstschutz auszuhändigen. Auch würden sie nicht unter die Personenkategorien fallen, die Anspruch auf Schutz durch die Unidad Nacional de Protección (Nationale Schutzeinheit, UNP) hätten. Dies stelle eine Verletzung der staatlichen Schutzpflicht dar. Darüber hin- aus verdeutliche auch der Umstand, dass sie auch in Bogotá lokalisiert und bedroht worden seien, dass der kolumbianische Staat in ihrem Fall schutz- unfähig beziehungsweise -unwillig sei. Es sei daher festzustellen, dass Ko- lumbien über keine funktionierende und wirksame staatliche Infrastruktur verfüge, zumal die Straflosigkeit in Kolumbien betreffend Delikte gegen Le- ben, Freiheit und körperliche Unversehrtheit über 90 Prozent betrage. Auch der Umstand, dass bisher weder ihnen noch der weiterhin in Kolum- bien wohnhaften Tochter des Beschwerdeführers 1 aus erster Ehe keine ernsthaften Nachteile widerfahren seien, stehe einer Asylgewährung nicht</w:t>
      </w:r>
    </w:p>
    <w:p>
      <w:r>
        <w:t>D-3463/2025 Seite 13 entgegen. Ausschlaggebend sei vielmehr die bestehende begründete Furcht vor künftiger Verfolgung im Falle einer Rückkehr nach Kolumbien, zumal der Zweck des Asylrechts nicht die Dokumentation von Tötungen, sondern die Verhinderung irreparablen Leids sei. Da ihnen mehrmals mit dem Tod gedroht worden sei und sie sich diesen Drohungen auch durch wiederholten Wegzug nicht hätten entziehen können, sei ihre Furcht, bei einer Rückkehr nach Kolumbien Opfer ernsthafter Nachteile zu werden, auch objektiv begründet. Des Weiteren stehe ihnen auch keine inländische Aufenthaltsalternative zur Verfügung. Sie hätten versucht, sich in Bogotá zu verstecken, wo sie verschiedene Sicherheitsmassnahmen ergriffen und ihren Aufenthaltsort geheim gehalten hätten. Dennoch seien sie lokalisiert worden, was das Bestehen einer inländischen Aufenthaltsalternative widerlege, zumal Bo- gotá zu einem der Operationszentren des «tren de Aragua» geworden sei. Auch mindere ihre Zugehörigkeit zur kolumbianischen Mittelschicht ihre Gefährdung durch ihre Verfolger nicht, weshalb von ihnen aus rechtlicher Hinsicht kein innerstaatlicher Umzug verlangt werden könne. Das Bestehen eines realen Verfolgungsrisikos bei einer Rückkehr, der feh- lende staatliche Schutz in Kolumbien sowie der bereits fortgeschrittene In- tegrationsprozess in der Schweiz seien daher hinreichend, ihre Flüchtlings- eigenschaft zu begründen, weshalb ihnen Asyl zu gewähren sei. Zur Stützung ihrer Vorbringen reichten die Beschwerdeführenden verschie- dene Medienberichte, mehrere Unterstützungsschreiben, Teilnahmebestä- tigungen eines Deutschkurses, eine Arbeitsbestätigung des Zentrums H._______ vom 5. März 2024 betreffend den Beschwerdeführer 1, eine Ar- beitsbestätigung des Zentrums H._______ vom 6. März 2024 betreffend die Beschwerdeführerin 2, eine Bestätigung der Teilnahme am Beschäfti- gungsprogramm Kinderhort vom 12. Juli 2024, einen Schulbericht eines Deutschkurses den Beschwerdeführer 1 betreffend und eine Anmeldebe- stätigung zur schulpsychologischen Beratung vom 1. Mai 2025 betreffend den Beschwerdeführer 3 zu den Akten.</w:t>
      </w:r>
    </w:p>
    <w:p>
      <w:r>
        <w:rPr>
          <w:b/>
        </w:rPr>
        <w:t>E. 7.1</w:t>
      </w:r>
    </w:p>
    <w:p>
      <w:r>
        <w:t>Zunächst stellt das Gericht fest, dass das SEM die Glaubhaftigkeit der Vorbringen der Beschwerdeführenden nicht in Zweifel gezogen hat. Nach Durchsicht der Akten gelangt das Gericht zum Schluss, dass kein Grund besteht, von der vorinstanzlichen Einschätzung abzuweichen.</w:t>
      </w:r>
    </w:p>
    <w:p>
      <w:r>
        <w:t>D-3463/2025 Seite 14</w:t>
      </w:r>
    </w:p>
    <w:p>
      <w:r>
        <w:rPr>
          <w:b/>
        </w:rPr>
        <w:t>E. 7.2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Aufgrund der Subsidiarität des flüchtlingsrechtlichen Schut- zes setzt die Zuerkennung der Flüchtlingseigenschaft ausserdem voraus, dass die betroffene Person in ihrem Heimatland keinen adäquaten Schutz finden kann (vgl. BVGE 2008/12 E. 7.2.6.2 S, BVGE 2008/4 E. 5.2). Die erlittene Verfolgung beziehungsweise die begründete Furcht vor künf- tiger Verfolgung muss sachlich und zeitlich kausal für die Ausreise aus dem Heimat- oder Herkunftsstaat und grundsätzlich auch im Zeitpunkt des Asy- lentscheids noch aktuell sein, was insbesondere heisst, dass Veränderun- gen der objektiven Situation im Heimatland im Zeitraum zwischen Ausreise und Asylentscheid zugunsten und zulasten der asylsuchenden Person zu berücksichtigen sind (vgl. BVGE 2008/34 E. 7.1, BVGE 2008/12 E. 5.2; WALTER STÖCKLI, Asyl, in: Uebersax/Rudin/Hugi Yar/Geiser/Vetterli [Hrsg.], Ausländerrecht, 3. Aufl., Basel 2022, Rz. 14.38).</w:t>
      </w:r>
    </w:p>
    <w:p>
      <w:r>
        <w:rPr>
          <w:b/>
        </w:rPr>
        <w:t>E. 7.3.1</w:t>
      </w:r>
    </w:p>
    <w:p>
      <w:r>
        <w:t>Auch eine Verfolgung durch nichtstaatliche Akteure setzt voraus, dass der geltend gemachten Verfolgung eines der in Art. 3 Abs. 1 AsylG abschliessend aufgelisteten Motive zugrunde liegt. Gemäss geltender Pra- xis ist die Erfüllung der Flüchtlingseigenschaft nicht von einer bestimmten Definition eines Verfolgungsmotivs abhängig, bestimmen doch letztlich die Verfolger allein, wen sie weshalb verfolgen. Ausschlaggebend ist deshalb vielmehr, ob die Verfolgung wegen äusserer oder innerer Merkmale erfolgt ist beziehungsweise künftig droht, die untrennbar mit der Person oder Per- sönlichkeit des Opfers verbunden sind (u.a. Geschlecht, Abstammung, Herkunft, Zugehörigkeit zu einer Volksgruppe, Sprache, Veranlagung, Hautfarbe, Gebrechen, Glauben, Denken, politische Meinung, Überzeu- gung, Lebenseinstellung). Verfolgung im Sinne des Asylgesetzes und der Flüchtlingskonvention erfolgt immer wegen des Seins, nicht wegen des Tuns; zwar kann der Verfolger gleichfalls oder sogar vordergründig haupt- sächlich auf Handlungsweisen einer Person abzielen; bedeutsam für die Flüchtlingseigenschaft wird der Eingriff der Verfolger aber nur, wenn diese die hinter einer Handlungsweise steckende Eigenart und Gesinnung der entsprechenden Person treffen wollen (Entscheidungen und Mitteilungen</w:t>
      </w:r>
    </w:p>
    <w:p>
      <w:r>
        <w:t>D-3463/2025 Seite 15 der Schweizerischen Asylrekurskommission [EMARK] 2006 Nr. 32 E. 8.7.1 sowie WALTER STÖCKLI, Asyl, a.a.O., Rz. 14.18 und 14.19).</w:t>
      </w:r>
    </w:p>
    <w:p>
      <w:r>
        <w:rPr>
          <w:b/>
        </w:rPr>
        <w:t>E. 7.3.2</w:t>
      </w:r>
    </w:p>
    <w:p>
      <w:r>
        <w:t>Bei einer Verfolgung durch besonders mächtige private Organisatio- nen – etwa Guerillagruppierungen, paramilitärische Organisationen oder kriminelle Banden – kann bereits die Nichtbefolgung einer Handlungsan- weisung einer solchen Organisation als politische Anschauung gelten (vgl. Urteile des BVGer D-2760/2022 vom 16. März 2023 E. 6.4.2, D-6441/2019, D-6442/2019, D-6444/2019, D-6450/2019 vom 16. Dezem- ber 2019 E. 6.2; E-3683/2019 vom 7. August 2019 E. 3.3; E-3745/2019 vom 7. August 2019 E. 3.1; vgl. dazu auch UNHCR Guidance Note on Ref- ugee Claims Relating to Victims of Organized Gangs, § 45-51 &lt; https://www.refworld.org/docid/4bb21fa02.html &gt;, abgerufen am 22.05.2025).</w:t>
      </w:r>
    </w:p>
    <w:p>
      <w:r>
        <w:rPr>
          <w:b/>
        </w:rPr>
        <w:t>E. 7.4</w:t>
      </w:r>
    </w:p>
    <w:p>
      <w:r>
        <w:t>Vorliegend sind die Beschwerdeführenden Opfer von Erpressungsver- suchen und Morddrohungen seitens der Organisation «tren de Aragua» geworden.</w:t>
      </w:r>
    </w:p>
    <w:p>
      <w:r>
        <w:rPr>
          <w:b/>
        </w:rPr>
        <w:t>E. 7.4.1</w:t>
      </w:r>
    </w:p>
    <w:p>
      <w:r>
        <w:t>Die Organisation «tren de Aragua» ist eine in der Haftanstalt Tocorón in Aragua (Venezuela) entstandene kriminelle Bande; ursprünglich als Ge- fängnisbande entstanden, entwickelte sich die Gruppe zu einer transnatio- nalen Bande mit einem breiten kriminellen Betätigungsfeld; diese interna- tionale Expansion erfolgte im Zuge der massiven venezolanischen Aus- wanderung. Von der Haftanstalt Tocorón aus überwachte und unterstützte die Bande zunächst Zellen in mindestens drei weiteren südamerikanischen Ländern. Im September 2023 stürmten 11’000 Polizisten und Soldaten die Haftanstalt, um die Kontrolle über das bis dahin als Operationszentrum des «tren de Aragua» geltende Gefängnis zu übernehmen. Trotz des schweren Rückschlags durch den Verlust ihrer Basis konnte die Führungsspitze der Organisation fliehen und ihre transnationalen Aktivitäten in verschiedenen lateinamerikanischen Ländern – darunter auch Kolumbien – weiterführen (vgl. InSightCrime, Tren de Aragua vom 12. Juli 2024, &lt; https://in- sightcrime.org/es/noticias-crimen-organizado-venezuela/tren-de-ara- gua/ &gt;,InSIghtCrime, Tren de Aragua: De megabanda carcelaria a empresa criminal transnacional vom Oktober 2023 &lt; https://in- sightcrime.org/wp-content/uploads/2023/08/Tren-de-Aragua-De-mega- banda-carcelaria-a-empresa-criminal-transnacional-InSight-Crime-Oct- 2023-4.pdf &gt;, alle abgerufen am 22.05.2025).</w:t>
      </w:r>
    </w:p>
    <w:p>
      <w:r>
        <w:t>D-3463/2025 Seite 16 Die hauptsächlichen kriminellen Aktivitäten der Bande stellen Erpressun- gen und Wucherkredite, Menschenhandel, die Ausbeutung von Migranten und Migrantinnen, Entführungen, sexuelle Ausbeutung sowie – in begrenz- tem Umfang – Drogenhandel dar (vgl. InSightCrime, Tren de Aragua, a.a.O., Ojo Publico, Tren de Aragua: expansión y evolución de una me- gafranquicia del crimen en América Latina vom 8. November 2023 &lt; https://ojo-publico.com/4749/tren-aragua-una-megafranquicia-del-cri- men-america-latina &gt;, Prensa Libre, Qué es el Tren de Aragua, la red cri- minal que se expande en América y que Trump busca declarar terrorista vom 13. Februar 2025 &lt; https://www.prensalibre.com/internacional/tren- de-aragua-que-es-la-red-criminal-que-se-expande-en-america-y-que- trump-busca-declarar-terrorista/ &gt;, alle abgerufen am 22.2025). Mit Blick auf die geografische Präsenz und Kontrolle des «tren de Aragua» in Kolumbien ist davon auszugehen, dass sich diese auf die Grenzregion zu Venezuela und Ecuador sowie die Städte Bogotá (inklusive Soacha) be- schränkt, wobei ihr Machtbereich insbesondere in F._______ – und in noch erhöhtem Masse im Grenzquartier E._______ – sowie in Bogotá als weit- gehend gesichert gilt (vgl. InSIghtCrime, Tren de Aragua: De megabanda carcelaria a empresa criminal transnacional, a.a.O., S. 15, Ojo Publico, Tren de Aragua: expansión y evolución de una megafranquicia del crimen en América Latina, a.a.O. und InSightCrime, Tren de Aragua). Anders als die ursprünglich aus den Autodefensas Unidas de Colombia (AUC) entstandenen paramilitärische Organisationen (auch als «narcopa- ramilitarismo» oder «Post-AUC» bezeichnet) und die Guerillagruppen (etwa Dissidentengruppen der Fuerzas Armadas Revolucionarias de Co- lombia – Ejército del Pueblo [Post-FARC-EP] und das Ejército de Libera- ción Nacional [ELN]) sind in den Akten des «tren de Aragua» keine Verfol- gung politisch-ideologischer Ziele ersichtlich; deren Tätigkeiten beschrän- ken sich auf die Erlangung finanzieller Vorteile und die Kontrolle gewisser Gebiete zwecks Ausübung illegaler Aktivitäten.</w:t>
      </w:r>
    </w:p>
    <w:p>
      <w:r>
        <w:rPr>
          <w:b/>
        </w:rPr>
        <w:t>E. 7.4.2</w:t>
      </w:r>
    </w:p>
    <w:p>
      <w:r>
        <w:t>Angesichts des Fehlens von politisch-ideologischen Zielen sowie der beschränkten territorialen Kontrolle des «tren de Aragua» ist nicht davon auszugehen, dass die Beschwerdeführenden aufgrund von Merkmalen verfolgt werden, die untrennbar mit ihnen als Personen beziehungsweise ihrer Persönlichkeit verbunden sind. Vielmehr ist festzustellen, dass sich die geltend gemachte Verfolgung – wiederholte Drohungen und Erpres- sungsversuche – vorliegend in der Begehung gemeinrechtlicher Delikte er- schöpft. Daran vermögen – angesichts des beschränkten geografischen</w:t>
      </w:r>
    </w:p>
    <w:p>
      <w:r>
        <w:t>D-3463/2025 Seite 17 Einflusses der Organisation – auch die Ausführungen in der Beschwerde nichts zu ändern.</w:t>
      </w:r>
    </w:p>
    <w:p>
      <w:r>
        <w:rPr>
          <w:b/>
        </w:rPr>
        <w:t>E. 7.5.1</w:t>
      </w:r>
    </w:p>
    <w:p>
      <w:r>
        <w:t>Ferner stellt das Gericht fest, dass – nebst dem Fehlen eines asyl- rechtlich relevanten Motivs – die Elemente der Flüchtlingseigenschaft auch deshalb nicht erfüllt sind, weil vorliegend vom Bestehen einer inländischen Aufenthaltsalternative auszugehen ist.</w:t>
      </w:r>
    </w:p>
    <w:p>
      <w:r>
        <w:rPr>
          <w:b/>
        </w:rPr>
        <w:t>E. 7.5.2</w:t>
      </w:r>
    </w:p>
    <w:p>
      <w:r>
        <w:t>Zwar ist den Beschwerdeführenden insofern beizupflichten, als dass eine asylrechtlich relevante Gefährdung nicht von der Zugehörigkeit zu ei- ner bestimmten sozialen Schicht abhängt. Allerdings kann aufgrund des asylrechtlichen Subsidiaritätsprinzips – entgegen der Behauptung der Be- schwerdeführenden – von den betroffenen Personen erwartet werden, sich innerhalb des Staatsgebiets um eine Aufenthaltsalternative zu bemühen, sofern diese im Einzelfall möglich und zumutbar erscheint. Vorliegend ist – angesichts des geografisch beschränkten Machtsphäre des «tren de Aragua» – eine Niederlassung in einem anderen Landesteil Kolumbiens grundsätzlich möglich, die sich – vor dem Hintergrund der finanziellen Mög- lichkeiten der Beschwerdeführenden – für sie auch als zumutbar erweist.</w:t>
      </w:r>
    </w:p>
    <w:p>
      <w:r>
        <w:rPr>
          <w:b/>
        </w:rPr>
        <w:t>E. 7.6</w:t>
      </w:r>
    </w:p>
    <w:p>
      <w:r>
        <w:t>Weiter ist festzuhalten, dass das Bundesverwaltungsgericht in seiner Rechtsprechung grundsätzlich von der Schutzfähigkeit und Schutzwilligkeit der kolumbianischen Strafverfolgungs- und Justizbehörden ausgeht (vgl. etwa Urteile des BVGer D-4959/2022 und D-4941/2022 vom 29. No- vember 2022; D-1026/2022 und D-1023/2022 vom 5. April 2022 E. 6.3.4; D-1633/2021 vom 25. Mai 2021 E. 7.1.3). Diesbezüglich ist den Beschwer- deführenden zu Gute zu halten, dass sie sich mehrmals an die zuständigen Sicherheitsbehörden gewandt haben. Zwar ist bekannt, dass die Verfahren betreffend Schutzgewährung lange andauern können und die ergriffenen Massnahmen teilweise als unangemessen kritisiert werden (vgl. Inter- American Commission on Human Rights [IACHR], Report on the Situation of Human Rights Defenders and Social Leaders in Colombia, 2019, &lt; http://www.oas.org/en/iachr/reports/pdfs/ColombiaDefenders.pdf &gt;, ab- gerufen am 22.2025). Ob im vorliegenden Fall von einer hinreichenden Schutzinfrastruktur gesprochen werden kann, kann mit Blick auf das feh- lende asylrelevante Motiv (vgl. E. 8.3.2) und die Möglichkeit einer inländi- schen Aufenthaltsalternative (vgl. E. 8.4) jedoch offengelassen werden. Im- merhin bleibt aber festzustellen, dass die Sicherheitsbehörden die Anzei- gen der Beschwerdeführenden entgegengenommen haben, der Be- schwerdeführer 1 zwecks Einvernahme vorgeladen worden ist, die Polizei-</w:t>
      </w:r>
    </w:p>
    <w:p>
      <w:r>
        <w:t>D-3463/2025 Seite 18 einheiten jeweils ausgerückt sind, die Eliteeinheit GOES zumindest spora- disch bei ihrem Haus patrouilliert hat und den Beschwerdeführenden ein Plan zur Verhaftung der Täter vorgelegt worden ist (vgl. SEM-eAkten […]- 45/17 [nachfolgend A45/17] F59, 90; […]-44/7 [A44/7] F 22 f.; BM005). Schliesslich deutet der Umstand, dass die Beschwerdeführenden nach ko- lumbianischem Recht nicht unter die Personenkategorien der UNP-Be- rechtigten fallen, nicht zwingend auf fehlenden staatlichen Schutz, sondern möglicherweise auf ein fehlendes Schutzbedürfnis der Beschwerdeführen- den hin.</w:t>
      </w:r>
    </w:p>
    <w:p>
      <w:r>
        <w:rPr>
          <w:b/>
        </w:rPr>
        <w:t>E. 7.7</w:t>
      </w:r>
    </w:p>
    <w:p>
      <w:r>
        <w:t>Somit erweist sich die subjektive Furcht, bei einer Rückkehr nach Ko- lumbien landesweit einer asylrechtlich relevanten Verfolgung ausgesetzt zu sein, objektiv als nicht begründet. Daran ändern auch die vorgebrachten Integrationsbemühungen nichts, zumal die Zuerkennung der Flüchtlingsei- genschaft nicht von der Integration einer asylsuchenden Person abhängt.</w:t>
      </w:r>
    </w:p>
    <w:p>
      <w:r>
        <w:rPr>
          <w:b/>
        </w:rPr>
        <w:t>E. 7.8</w:t>
      </w:r>
    </w:p>
    <w:p>
      <w:r>
        <w:t>Zusammenfassend ergibt sich, dass keine asylrechtlich relevanten Ver- folgungsgründe ersichtlich sind, weshalb die Vorinstanz zu Recht die Flüchtlingseigenschaft der Beschwerdeführenden verneint und ihre Asyl- gesuche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D-3463/2025 Seite 19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Nach dem Gesagten (vgl. E. 7) ergeben sich keine Anhaltspunkte da- für, dass die Beschwerdeführenden für den Fall einer Ausschaffung nach Kolumbien dort mit beachtlicher Wahrscheinlichkeit einer nach Art. 3 EMRK oder Art. 1 FoK verbotenen Strafe oder Behandlung ausgesetzt wären. Gemäss Praxis des Europäischen Gerichtshofes für Menschen- rechte (EGMR) sowie jener des UN-Anti-Folterausschusses müssten sie eine konkrete Gefahr ("real risk") nachweisen oder glaubhaft machen, dass ihnen im Fall einer Rückschiebung Folter oder unmenschliche Behandlung drohen würde (vgl. Urteil des EGMR Saadi gegen Italien 28. Februar 2008,</w:t>
      </w:r>
    </w:p>
    <w:p>
      <w:r>
        <w:t>D-3463/2025 Seite 20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Auch der Einwand der Beschwerdeführenden, es bestehe kein Rück- nahmeübereinkommen zwischen der Schweiz und Kolumbien, weshalb der Vollzug der Wegweisung ohne Einholung der Zustimmung und von Si- cherheitsgarantien Kolumbiens unzulässig sei, ist zurückzuweisen. Das Recht auf Rückkehr einer Person in ihren Heimatstaat stellt ein Prinzip des Völkerrechts dar, gilt als Völkergewohnheitsrecht und ist etwa in Art. 13 Abs. 2 der Allgemeinen Erklärung der Menschenrechte vom 10. Dezember 1948, in Art. 12 Abs. 4 des Internationales Paktes über bürgerliche und po- litische Rechte vom 16. Dezember 1966 explizit niedergelegt (vgl. zum Ganzen etwa ERIC ROSAN, The Right to Return Under International Law Following Mass Dislocation: The Bosnia Precedent?, Michigan Journal of International Law 1998, Vol. 4, Issue 4, 1091–1139, S. 1121) und gilt unab- hängig vom Bestehen eines bilateralen Rückübereinkommens. Diese Ab- kommen regeln – aufgrund des Rechts auf Rückkehr eigener staatsange- höriger Personen – lediglich die Rückübernahme ausländischer Personen durch einen Staat.</w:t>
      </w:r>
    </w:p>
    <w:p>
      <w:r>
        <w:rPr>
          <w:b/>
        </w:rPr>
        <w:t>E. 9.2.7</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Situ- ation allgemeiner Gewalt, aufgrund derer eine Rückkehr generell unzumut- bar wäre (vgl. hierzu die Urteile des BVGer D-908/2021 vom 11. Oktober 2021 E. 7.4.2 m.w.H; D-4959/2022 vom 29. November 2022; D-4941/2022 vom 29. November 2022; D-5435/2022 vom 21. Dezember 2022 E. 9.3.1; D-2760/2022 vom 16. März 2024 E. 8.4.1; D-1125/2024 vom 29. Februar 2024 E. 8.3.1).</w:t>
      </w:r>
    </w:p>
    <w:p>
      <w:r>
        <w:t>D-3463/2025 Seite 21</w:t>
      </w:r>
    </w:p>
    <w:p>
      <w:r>
        <w:rPr>
          <w:b/>
        </w:rPr>
        <w:t>E. 9.3.3</w:t>
      </w:r>
    </w:p>
    <w:p>
      <w:r>
        <w:t>Zusammen mit der Vorinstanz stellt das Bundesverwaltungsgericht fest, dass es sich bei den Beschwerdeführenden 1 und 2 um ein gesundes (vgl. A44/7 F5; A45/17 F5 g.), gut ausgebildetes Paar mit Arbeitserfahrung (A44/7 F19; A45/17 F25), Wohneigentum in einer bewachten Wohnanlage (A45/17 F36), einem familiären Netz in Kolumbien (A44/7 F16, A45/17 F25, 43) und grundsätzlich gesunden Kindern (vgl. A44/7 F8, A45/17 F7) han- delt. Aufgrund dieser Umstände ist im vorliegenden Einzelfall davon aus- zugehen, dass eine sozio-ökonomische Wiedereingliederung in Kolumbien möglich und zumutbar ist.</w:t>
      </w:r>
    </w:p>
    <w:p>
      <w:r>
        <w:rPr>
          <w:b/>
        </w:rPr>
        <w:t>E. 9.3.4</w:t>
      </w:r>
    </w:p>
    <w:p>
      <w:r>
        <w:t>Auch ist mit Blick auf die Aufenthaltsdauer von rund zwei Jahren nicht von einer Verwurzelung der Beschwerdeführenden 3 und 4 in der Schweiz auszugehen, weshalb sich der Vollzug der Wegweisung auch mit Blick auf das Kindeswohl im Sinne von Art. 3 Abs. 1 des Übereinkommens vom 20. November 1989 über die Rechte des Kindes (KRK, SR 0.107) als zu- mutbar erweist. An dieser Einschätzung ändert auch der Umstand nichts, dass der Beschwerdeführer 3 offenbar schulpsychologische Beratung in Anspruch nimmt (vgl. Anmeldebestätigung zur schulpsychologischen Be- ratung vom 1. Mai 2025).</w:t>
      </w:r>
    </w:p>
    <w:p>
      <w:r>
        <w:rPr>
          <w:b/>
        </w:rPr>
        <w:t>E. 9.3.5</w:t>
      </w:r>
    </w:p>
    <w:p>
      <w:r>
        <w:t>Ferner vermag auch die in der Beschwerde geltend gemachte – je- doch unbelegt gebliebene – psychologische Behandlung der Beschwerde- führerin 2 den Wegweisungsvollzug nicht als unzumutbar erscheinen las- sen. Aus gesundheitlichen Gründen kann nur dann auf Unzumutbarkeit des Wegweisungsvollzugs im Sinne von Art. 83 Abs. 4 AIG geschlossen wer- den, wenn eine dringend notwendige medizinische Behandlung im Heimat- land nicht zur Verfügung steht und die fehlende Möglichkeit der (weiteren)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Wegweisungsvollzug unzumutbar machenden existenziellen medizinischen Notlage ist aufgrund der Aktenlage nicht aus- zugehen, zumal Kolumbien insbesondere in den Städten und grösseren Ortschaften über eine vergleichsweise gute Gesundheitsversorgung ver- fügt (vgl. statt vieler das Urteil des BVGer D-1045/2018 vom 26. Juni 2018 E. 6.3.2).</w:t>
      </w:r>
    </w:p>
    <w:p>
      <w:r>
        <w:t>D-3463/2025 Seite 22</w:t>
      </w:r>
    </w:p>
    <w:p>
      <w:r>
        <w:rPr>
          <w:b/>
        </w:rPr>
        <w:t>E. 9.3.6</w:t>
      </w:r>
    </w:p>
    <w:p>
      <w:r>
        <w:t>Schliesslich vermögen auch die vorgelegten Belege betreffend die Integrationsbemühungen der Beschwerdeführenden 1 und 2 an der Zu- mutbarkeit des Wegweisungsvollzugs nichts zu ändern.</w:t>
      </w:r>
    </w:p>
    <w:p>
      <w:r>
        <w:rPr>
          <w:b/>
        </w:rPr>
        <w:t>E. 9.3.7</w:t>
      </w:r>
    </w:p>
    <w:p>
      <w:r>
        <w:t>Nach dem Gesagten erweist sich der Vollzug der Wegweisung als zumutbar.</w:t>
      </w:r>
    </w:p>
    <w:p>
      <w:r>
        <w:rPr>
          <w:b/>
        </w:rPr>
        <w:t>E. 9.4</w:t>
      </w:r>
    </w:p>
    <w:p>
      <w:r>
        <w:t>Schliesslich verfügen alle Beschwerdeführenden über gültige Reise- pässe,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11.1</w:t>
      </w:r>
    </w:p>
    <w:p>
      <w:r>
        <w:t>Angesichts des vorliegenden, direkten Entscheids in der Sache er- weist sich der Antrag auf Verzicht der Erhebung eines Kostenvorschusses als gegenstandslos.</w:t>
      </w:r>
    </w:p>
    <w:p>
      <w:r>
        <w:rPr>
          <w:b/>
        </w:rPr>
        <w:t>E. 11.2</w:t>
      </w:r>
    </w:p>
    <w:p>
      <w:r>
        <w:t>Bei diesem Ausgang des Verfahrens wären die Kosten den Beschwer- deführenden aufzuerlegen (Art. 63 Abs. 1 VwVG). Ihr Gesuch um Gewäh- rung der unentgeltlichen Prozessführung gemäss Art. 65 Abs. 1 VwVG ist aber gutzuheissen, da aufgrund der eingereichten Fürsorgebestätigung von ihrer Mittellosigkeit auszugehen ist und die Beschwerdebegehren nicht von vornherein aussichtslos im Sinne dieser Bestimmung waren. Auf die Erhebung von Verfahrenskosten ist entsprechend zu verzichten.</w:t>
      </w:r>
    </w:p>
    <w:p>
      <w:r>
        <w:t>(Dispositiv nächste Seite)</w:t>
      </w:r>
    </w:p>
    <w:p>
      <w:r>
        <w:t>D-3463/2025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