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D-3461/2022 vom 12. Juli 2022</w:t>
      </w:r>
    </w:p>
    <w:p>
      <w:r>
        <w:t>Bundesverwaltungsgericht, 2022-07-12, DE</w:t>
      </w:r>
    </w:p>
    <w:p>
      <w:r>
        <w:rPr>
          <w:b/>
        </w:rPr>
        <w:t xml:space="preserve">Quelle: </w:t>
      </w:r>
      <w:r>
        <w:t>https://mcp.opencaselaw.ch/entscheid/bvger_D-3461_2022_d20220712</w:t>
      </w:r>
    </w:p>
    <w:p>
      <w:r>
        <w:t>FR: TAF D-3461/2022 du 12 juillet 2022</w:t>
      </w:r>
    </w:p>
    <w:p>
      <w:r>
        <w:t>IT: TAF D-3461/2022 del 12 luglio 2022</w:t>
      </w:r>
    </w:p>
    <w:p>
      <w:pPr>
        <w:pStyle w:val="Heading2"/>
      </w:pPr>
      <w:r>
        <w:t>Regeste</w:t>
      </w:r>
    </w:p>
    <w:p>
      <w:r>
        <w:t>Asyl und Wegweisung (beschleunigtes Verfahren) | Asyl und Wegweisung (beschleunigtes Verfahren); Verfügung des SEM vom 12. Juli 2022</w:t>
      </w:r>
    </w:p>
    <w:p>
      <w:pPr>
        <w:pStyle w:val="Heading2"/>
      </w:pPr>
      <w:r>
        <w:t>Erwägungen</w:t>
      </w:r>
    </w:p>
    <w:p>
      <w:r>
        <w:rPr>
          <w:b/>
        </w:rPr>
        <w:t>E. 3</w:t>
      </w:r>
    </w:p>
    <w:p>
      <w:r>
        <w:t>des Reglements vom 21. Februar 2008 über die Kosten und Entschädi- gungen vor dem Bundesverwaltungsgericht [VGKE, SR 173.320.2]) der Beschwerdeführerin aufzuerlegen sind (Art. 63 Abs. 1 VwVG), dass das Gesuch um Gewährung der unentgeltlichen Rechtspflege ange- sichts der oben dargelegten Aussichtslosigkeit der Begehren abzuweisen ist (vgl. Art. 65 VwVG), dass das Gesuch um Verzicht auf die Erhebung eines Kostenvorschusses angesichts des vorliegenden Entscheides in der Hauptsache gegenstands- los wird.</w:t>
      </w:r>
    </w:p>
    <w:p>
      <w:r>
        <w:t>(Dispositiv nächste Seite)</w:t>
      </w:r>
    </w:p>
    <w:p>
      <w:r>
        <w:t>D-3461/2022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