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D-345/2023 vom 16. Dezember 2022</w:t>
      </w:r>
    </w:p>
    <w:p>
      <w:r>
        <w:t>Bundesverwaltungsgericht, 2022-12-16, DE</w:t>
      </w:r>
    </w:p>
    <w:p>
      <w:r>
        <w:rPr>
          <w:b/>
        </w:rPr>
        <w:t xml:space="preserve">Quelle: </w:t>
      </w:r>
      <w:r>
        <w:t>https://mcp.opencaselaw.ch/entscheid/bvger_D-345_2023_d20221216</w:t>
      </w:r>
    </w:p>
    <w:p>
      <w:r>
        <w:t>FR: TAF D-345/2023 du 16 décembre 2022</w:t>
      </w:r>
    </w:p>
    <w:p>
      <w:r>
        <w:t>IT: TAF D-345/2023 del 16 dicembre 2022</w:t>
      </w:r>
    </w:p>
    <w:p>
      <w:pPr>
        <w:pStyle w:val="Heading2"/>
      </w:pPr>
      <w:r>
        <w:t>Regeste</w:t>
      </w:r>
    </w:p>
    <w:p>
      <w:r>
        <w:t>Verweigerung vor&amp;uuml;bergehender Schutz | Verweigerung vorübergehender Schutz; Verfügung des SEM vom 16. Dezember 2022</w:t>
      </w:r>
    </w:p>
    <w:p>
      <w:pPr>
        <w:pStyle w:val="Heading2"/>
      </w:pPr>
      <w:r>
        <w:t>Erwägungen</w:t>
      </w:r>
    </w:p>
    <w:p>
      <w:r>
        <w:rPr>
          <w:b/>
        </w:rPr>
        <w:t>E. 1.1</w:t>
      </w:r>
    </w:p>
    <w:p>
      <w:r>
        <w:t>Das Bundesverwaltungsgericht entscheidet auf dem Gebiet des Asyls in der Regel – so auch hier – endgültig über Beschwerden gegen Verfü- 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Die Beschwerde ist frist- und form- gereicht eingereicht worden (Art. 72 i.V.m. Art. 108 Abs. 6 AsylG;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(vgl. Art. 72 AsylG), und im Bereich des Ausländerrechts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72 i.V.m. Art. 111 Bst. e AsylG). Wie nachstehend aufgezeigt, handelt es sich um eine solche, wes- halb das Urteil nur summarisch zu begründen ist (Art. 72 i.V.m. Art. 111a Abs. 2 AsylG).</w:t>
      </w:r>
    </w:p>
    <w:p>
      <w:r>
        <w:rPr>
          <w:b/>
        </w:rPr>
        <w:t>E. 3.2</w:t>
      </w:r>
    </w:p>
    <w:p>
      <w:r>
        <w:t>Gestützt auf Art. 111a Abs. 1 AsylG (i.V.m. Art. 72 AsylG) wurde auf die Durchführung eines Schriftenwechsels verzichtet.</w:t>
      </w:r>
    </w:p>
    <w:p>
      <w:r>
        <w:rPr>
          <w:b/>
        </w:rPr>
        <w:t>E. 4</w:t>
      </w:r>
    </w:p>
    <w:p>
      <w:r>
        <w:t>In der Beschwerde wird sub-eventualiter beantragt, die angefochtene Ver- fügung sei aufzuheben, und die Sache sei zur Neubeurteilung an die Vor- instanz zurückzuweisen (vgl. Ziff. 3 der Beschwerdeanträge). Dieser An- trag wird indessen nicht näher begründet; insbesondere wird nicht darge- legt, dass respektive inwiefern die angefochtene Verfügung an formellen Mängeln leide. Das Rückweisungsbegehren ist daher als unbegründet zu</w:t>
      </w:r>
    </w:p>
    <w:p>
      <w:r>
        <w:t>D-345/2023 Seite 5 erachten und abzuweisen. Das Verfahren erweist sich ohne weiteres als spruchreif.</w:t>
      </w:r>
    </w:p>
    <w:p>
      <w:r>
        <w:rPr>
          <w:b/>
        </w:rPr>
        <w:t>E. 5.1</w:t>
      </w:r>
    </w:p>
    <w:p>
      <w:r>
        <w:t>Gestützt auf Art. 4 AsylG kann die Schweiz Schutzbedürftigen für die Dauer einer schweren allgemeinen Gefährdung, insbesondere während ei- nes Kriegs oder Bürgerkriegs sowie in Situationen allgemeiner Gewalt, vorübergehenden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vorübergehenden Schutzes im Zusammenhang mit der Situation in der Ukraine erlassen (vgl. BBl 2022 586) und in Ziff. 1 dieses Erlasses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6.1</w:t>
      </w:r>
    </w:p>
    <w:p>
      <w:r>
        <w:t>Der Beschwerdeführer macht geltend, er gehöre der schutzberechtig- ten Personengruppe gemäss Bst. a der Allgemeinverfügung an, da er mit seiner ukrainischen Freundin, welcher in der Schweiz vorübergehender Schutz gewährt worden sei, in einer eheähnlichen Beziehung lebe und so- mit als deren Familienangehöriger zu betrachten sei. Dieser Auffassung kann nicht gefolgt werden. Praxisgemäss ist von einer anspruchsbegrün-</w:t>
      </w:r>
    </w:p>
    <w:p>
      <w:r>
        <w:t>D-345/2023 Seite 6 denden eheähnlichen Beziehung nur dann auszugehen, wenn die Bezie- hung bezüglich Art und Stabilität in ihrer Substanz einer Ehe gleichkommt. Dabei ist wesentlich, ob die Partner in einem gemeinsamen Haushalt le- ben. Ausserdem ist der Natur und Länge ihrer Beziehung sowie ihrem In- teresse und ihrer Bindung aneinander, etwa durch Kinder oder andere Um- stände wie die Übernahme von wechselseitiger Verantwortung, Rechnung zu tragen (vgl. dazu statt vieler Urteil des BGer 2C_880/2017 vom 3. Mai 2018 E. 3.1; vgl. auch Urteil des BVGer D-984/2021 vom 20. April 2021 E. 3.1). Insbesondere das Zusammenleben stellt ein objektives Kriterium dar, welches es erlaubt zu beurteilen, ob eine stabile und gefestigte Bezie- hung besteht (vgl. Urteil des BGer 2C_1035/2012 vom 21. Dezember 2012 E. 5.1). Aufgrund der Aktenlage ist zwar glaubhaft, dass der Beschwerde- führer und seine Freundin seit fünf Jahren ein Paar sind, eine enge und ernsthafte Beziehung führen, sich täglich sehen und viel zusammen unter- nehmen (vgl. dazu auch die eingereichten Fotos und Videos); sie haben aber keine gemeinsamen Kinder, und sie haben nie zusammengelebt. Diesbezüglich wendet der Beschwerdeführer ein, ihre Religion (Islam) ver- biete ein voreheliches Zusammenleben. Dies ändert indes nichts an der Tatsache, dass das Zusammenleben in einem gemeinsamen Haushalt res- pektive dessen Dauer ein wichtiges Indiz für die Beurteilung der Stabilität und Qualität einer Beziehung darstellt und dieses Indiz vorliegend fehlt. Ferner geht aus den Angaben des Beschwerdeführers auch nicht hervor, dass in der Beziehung mit seiner Freundin eine wechselseitige Übernahme von Verantwortung stattfindet oder gegenseitige eheähnliche Verpflichtun- gen, namentlich Beistandspflichten, eingegangen worden sind. Ein finanzi- elles Abhängigkeitsverhältnis kann ebenfalls nicht festgestellt werden. Der Beschwerdeführer und seine Freundin waren den Beschwerdevorbringen zufolge in der Ukraine beide erwerbstätig und erzielten somit je ein eigenes Einkommen. Sie hatten kein gemeinsames Bankkonto, und es werden auch keine gemeinsamen finanziellen Verpflichtungen (wie beispielsweise eine Solidarschuldnerschaft) geltend gemacht. Zudem ist davon auszuge- hen, dass die Freundin bei ihren Eltern lebt(e) und bei Bedarf von diesen unterstützt wurde respektive wird. Bei dieser Sachlage sind die in der Be- schwerde geltend gemachten, nicht näher spezifizierten gegenseitigen Geldüberweisungen per se nicht geeignet, eine für Eheverhältnisse typi- sche (mithin eheähnliche) wirtschaftliche Verflechtung zu begründen. Schliesslich deutet auch nichts auf eine unmittelbar bevorstehende Hoch- zeit hin. Obwohl sich der Beschwerdeführer und seine Freundin seit Mai respektive April 2022 in der Schweiz befinden und angeblich (noch in der Ukraine) bereits eine Anzahlung für die Eheringe geleistet haben, haben die beiden bisher offenbar kein Ehevorbereitungsverfahren in der Schweiz</w:t>
      </w:r>
    </w:p>
    <w:p>
      <w:r>
        <w:t>D-345/2023 Seite 7 eingeleitet. Nach dem Gesagten ist die Beziehung zwischen dem Be- schwerdeführer und seiner Freundin in ihrer Substanz nicht als eheähnlich zu qualifizieren. Damit fällt der Beschwerdeführer nicht unter Bst. a der All- gemeinverfügung.</w:t>
      </w:r>
    </w:p>
    <w:p>
      <w:r>
        <w:rPr>
          <w:b/>
        </w:rPr>
        <w:t>E. 6.2</w:t>
      </w:r>
    </w:p>
    <w:p>
      <w:r>
        <w:t>Soweit der Beschwerdeführer geltend macht, er könne nicht in Sicher- heit und dauerhaft nach Turkmenistan zurückkehren (vgl. Bst. c der Allge- meinverfügung vom 11. März 2022), ist Folgendes festzustellen: Der Be- schwerdeführer ist turkmenischer Staatsangehöriger und verfügt über ei- nen turkmenischen Reisepass. Eine dauerhafte Rückkehr nach Turkmenis- tan ist demnach ohne weiteres als möglich zu erachten, zumal turkmeni- sche Staatsangehörige nicht von Einreiseverboten im Zusammenhang mit der Covid-19-Pandemie betroffen sind (vgl. dazu https://www.dfa.ie/tra- vel/travel-advice/a-z-list-of-countries/turkmenistan/, zuletzt besucht am 14. Februar 2023). Da der Beschwerdeführer in Turkmenistan weder eine individuelle Verfolgung noch eine Gefährdung aufgrund der dort herrschen- den allgemeinen Sicherheitslage zu befürchten hat, ist auch das Kriterium der Rückkehr in Sicherheit zu bejahen. Er fällt damit auch nicht unter Bst. c der Allgemeinverfügung.</w:t>
      </w:r>
    </w:p>
    <w:p>
      <w:r>
        <w:rPr>
          <w:b/>
        </w:rPr>
        <w:t>E. 6.3</w:t>
      </w:r>
    </w:p>
    <w:p>
      <w:r>
        <w:t>Demnach hat das SEM das Gesuch um Gewährung vorübergehenden Schutzes zu Recht abgewiesen.</w:t>
      </w:r>
    </w:p>
    <w:p>
      <w:r>
        <w:rPr>
          <w:b/>
        </w:rPr>
        <w:t>E. 7.1</w:t>
      </w:r>
    </w:p>
    <w:p>
      <w:r>
        <w:t>Lehnt das SEM ein Gesuch um Gewährung vorübergehenden Schut- zes ab, so verfügt es in der Regel die Wegweisung aus der Schweiz und ordnet den Vollzug an (Art. 69 Abs. 4 AsylG).</w:t>
      </w:r>
    </w:p>
    <w:p>
      <w:r>
        <w:rPr>
          <w:b/>
        </w:rPr>
        <w:t>E. 7.2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69 Abs. 4 AsylG; Art. 83 Abs. 1 AIG [SR 142.20]). In Bezug auf die Geltendmachung von Wegweisungshindernissen gilt ge- mäss ständiger Praxis des Bundesverwaltungsgerichts der gleiche Be- weisstandard wie bei der Flüchtlingseigenschaft, das heisst, sie sind zu</w:t>
      </w:r>
    </w:p>
    <w:p>
      <w:r>
        <w:t>D-345/2023 Seite 8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Das flüchtlingsrechtliche Refoulement-Verbot schützt nur Personen, welche die Flüchtlingseigenschaft erfüllen. Der Beschwerdeführer hat in der Schweiz kein Asylgesuch gestellt, und den Akten sind keine Hinweise auf eine Verletzung des flüchtlingsrechtlichen Refoulement-Verbots zu ent- nehmen. Der Grundsatz der Nichtrückschiebung (vgl. Art. 5 AsylG) findet daher im vorliegenden Verfahren keine Anwendung.</w:t>
      </w:r>
    </w:p>
    <w:p>
      <w:r>
        <w:rPr>
          <w:b/>
        </w:rPr>
        <w:t>E. 8.2.3</w:t>
      </w:r>
    </w:p>
    <w:p>
      <w:r>
        <w:t>Sodann ergeben sich weder aus den Aussagen des Beschwerdefüh- rers noch aus den Akten Anhaltspunkte dafür, dass er für den Fall einer Ausschaffung nach Turkmenistan dort mit beachtlicher Wahrscheinlichkeit (d.h. im Sinne eines «real risk»; vgl. dazu EGMR [Grosse Kammer], Saadi gegen Italien, Urteil vom 28. Februar 2008, Beschwerde Nr. 37201/06, §§ 124 – 127, m.w.H.) einer nach Art. 3 EMRK oder Art. 1 FoK verbotenen Strafe oder Behandlung ausgesetzt wäre. Die allgemeine Menschen- rechtssituation in Turkmenistan lässt den Wegweisungsvollzug im heutigen Zeitpunkt ebenfalls nicht als unzulässig erscheinen.</w:t>
      </w:r>
    </w:p>
    <w:p>
      <w:r>
        <w:rPr>
          <w:b/>
        </w:rPr>
        <w:t>E. 8.2.4</w:t>
      </w:r>
    </w:p>
    <w:p>
      <w:r>
        <w:t>Nach dem Gesagten ist der Vollzug der Wegweisung zulässig.</w:t>
      </w:r>
    </w:p>
    <w:p>
      <w:r>
        <w:rPr>
          <w:b/>
        </w:rPr>
        <w:t>E. 8.3</w:t>
      </w:r>
    </w:p>
    <w:p>
      <w:r>
        <w:t>Gemäss Art. 83 Abs. 4 AIG kann der Vollzug für Ausländerinnen und Ausländer unzumutbar sein, wenn sie im Heimat- oder Herkunftsstaat auf-</w:t>
      </w:r>
    </w:p>
    <w:p>
      <w:r>
        <w:t>D-345/2023 Seite 9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Turkmenistan herrscht zurzeit weder ein kriegsähnlicher Zustand noch eine Situation allgemeiner Gewalt. Der Vollzug der Wegweisung dort- hin ist daher als generell zumutbar zu erachten.</w:t>
      </w:r>
    </w:p>
    <w:p>
      <w:r>
        <w:rPr>
          <w:b/>
        </w:rPr>
        <w:t>E. 8.3.2</w:t>
      </w:r>
    </w:p>
    <w:p>
      <w:r>
        <w:t>Der Vollzug der Wegweisung erweist sich auch in individueller Hin- sicht als zumutbar. Der Beschwerdeführer verfügt in Turkmenistan über eine Tante, bei welcher auch seine zwei Geschwister leben (vgl. A7 Ziff. 8). Da er bis zu seinem Umzug in die Ukraine im Jahr 2016 ununterbrochen in Turkmenistan gelebt hat, ist überdies davon auszugehen, dass er dort auch Freunde und Bekannte hat, welche ihm bei Bedarf bei der Reintegration behilflich sein könnten. Aufgrund seiner Ausbildung und bisherigen Arbeits- erfahrung (in der Ukraine arbeitete er als Taxifahrer) ist es ihm trotz der in seinem Heimatland herrschenden schwierigen Situation auf dem Arbeits- markt zuzumuten, ein für die Bestreitung seines Lebensunterhalts ausrei- chendes Einkommen zu erzielen. Es ist daher nicht davon auszugehen, dass er bei einer Rückkehr nach Turkmenistan aus sozialen oder wirt- schaftlichen Gründen in eine existenzbedrohende Lage geraten wird.</w:t>
      </w:r>
    </w:p>
    <w:p>
      <w:r>
        <w:rPr>
          <w:b/>
        </w:rPr>
        <w:t>E. 8.4</w:t>
      </w:r>
    </w:p>
    <w:p>
      <w:r>
        <w:t>Wie bereits erwähnt (vgl. E. 7.2) ist der Beschwerdeführer im Besitz eines gültigen turkmenischen Reisepasses und kann jederzeit in sein Hei- matland zurückkehren. Demnach ist der Vollzug der Wegweisung ohne weiteres auch als möglich zu erachten (Art. 83 Abs. 2 AIG).</w:t>
      </w:r>
    </w:p>
    <w:p>
      <w:r>
        <w:rPr>
          <w:b/>
        </w:rPr>
        <w:t>E. 8.5</w:t>
      </w:r>
    </w:p>
    <w:p>
      <w:r>
        <w:t>Zusammenfassend ist festzustellen, dass die Vorinstanz den Wegwei- sungsvollzug zu Recht als zulässig, zumutbar und möglich bezeichnet hat. Eine Anordnung der vorläufigen Aufnahme fällt damit ausser Betracht (Art. 83 Abs. 1–4 AIG).</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sind dessen Kosten von Fr. 750.– dem Beschwerdeführer aufzuerlegen (Art. 63 Abs. 1 VwVG; Art. 1–3 des Reglements vom 21. Februar 2008 über die Kosten und Entschädigungen</w:t>
      </w:r>
    </w:p>
    <w:p>
      <w:r>
        <w:t>D-345/2023 Seite 10 vor dem Bundesverwaltungsgericht [VGKE, SR 173.320.2]). Der in gleicher Höhe geleistete Kostenvorschuss ist zur Bezahlung der Verfahrenskosten zu verwenden.</w:t>
      </w:r>
    </w:p>
    <w:p>
      <w:r>
        <w:t>(Dispositiv nächste Seite)</w:t>
      </w:r>
    </w:p>
    <w:p>
      <w:r>
        <w:t>D-345/2023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