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D-3455/2023 vom 26. Juni 2023</w:t>
      </w:r>
    </w:p>
    <w:p>
      <w:r>
        <w:t>Bundesverwaltungsgericht, 2023-06-26, DE</w:t>
      </w:r>
    </w:p>
    <w:p>
      <w:r>
        <w:rPr>
          <w:b/>
        </w:rPr>
        <w:t xml:space="preserve">Quelle: </w:t>
      </w:r>
      <w:r>
        <w:t>https://mcp.opencaselaw.ch/entscheid/bvger_D-3455_2023</w:t>
      </w:r>
    </w:p>
    <w:p>
      <w:r>
        <w:t>FR: TAF D-3455/2023 du 26 juin 2023</w:t>
      </w:r>
    </w:p>
    <w:p>
      <w:r>
        <w:t>IT: TAF D-3455/2023 del 26 giugno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 unter Vorbehalt von E. 2.2 -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 Mithin ist auf die in diesem Zusammenhang eingereichten Beweismittel (vgl. Prozessgeschichte, Bst. H.) nicht einzugehen.</w:t>
      </w:r>
    </w:p>
    <w:p>
      <w:r>
        <w:rPr>
          <w:b/>
        </w:rPr>
        <w:t>E. 3</w:t>
      </w:r>
    </w:p>
    <w:p>
      <w:r>
        <w:t>Die vorliegende Beschwerde erweist sich - wie nachfolgend aufgezeigt -als offensichtlich begründet und ist demnach im Verfahren einzelrichterlicher Zuständigkeit mit Zustimmung eines zweiten Richters (Art. 111 Bst. e AsylG), ohne Weiterungen und mit summarischer Begründung zu behandeln (Art. 111a Abs. 1 und 2 AsylG).</w:t>
      </w:r>
    </w:p>
    <w:p>
      <w:r>
        <w:rPr>
          <w:b/>
        </w:rPr>
        <w:t>E. 4.1</w:t>
      </w:r>
    </w:p>
    <w:p>
      <w:r>
        <w:t>Die Beschwerdeführerin beantragt im Fliesstext der Beschwerdeergänzung die Aufhebung der angefochtenen Verfügung und Rückweisung der Sache an das SEM, weil letzteres das Dublin-Gespräch in Abwesenheit ihrer zugewiesenen Rechtsvertretung durchgeführt habe. In diesem Zusammenhang beruft sie sich auf die Rechtsprechung des angerufenen Gerichts, namentlich das Kassationsurteil D-5650/2022 vom 15. Dezember 2022.</w:t>
      </w:r>
    </w:p>
    <w:p>
      <w:r>
        <w:rPr>
          <w:b/>
        </w:rPr>
        <w:t>E. 4.2</w:t>
      </w:r>
    </w:p>
    <w:p>
      <w:r>
        <w:t>Vorab gilt es festzustellen, dass die Anwesenheit der Rechtsvertretung am Dublin-Gespräch nicht zwingend vorgeschrieben ist, da gemäss Art. 102k Abs. 1 Bst. b AsylG zu den Aufgaben der Rechtsvertretung die Teilnahme an der Erstbefragung in der Vorbereitungsphase und an der Anhörung zu den Asylgründen gehört. Das Dublin-Gespräch stellt indessen keine Erstbefragung im Rahmen der Vorbereitungsphase dar, sondern es handelt sich vielmehr um ein persönliches Gespräch (Art. 5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das nach Art. 26b AsylG i.V. m. Art. 20b Abs. 1 der Asylverordnung 1 vom 11. August 1999 (AsylV 1, SR 142.311) als Recht auf rechtliches Gehör zu einer allfälligen Überstellung ausgestaltet ist (vgl. Schweizerische Flüchtlingshilfe [SFH], Handbuch zum Asyl- und Wegweisungsverfahren, 3. Auflage, 2021, S. 160). Die Anforderungen an das persönliche Gespräch sind in Art. 5 Dublin-III-VO aufgeführt, wonach der die Zuständigkeit prüfende Mitgliedsstaat ein solches zu führen hat, um das richtige Verständnis der dem Antragsteller gemäss Art. 4 Dublin-III-VO bereitgestellten Informationen zu ermöglichen und auf welches gemäss Art. 5 Abs. 2 Dublin-III-VO ausnahmsweise verzichtet werden darf. Die Norm sieht keine Teilnahme der Rechtsvertretung vor (zur effektiven Rechtsberatung siehe nur Art. 27 Abs. 5 Dublin-III-VO). Die Teilnahme der zugewiesenen Rechtsvertretung am Dublin-Gespräch kann indessen zur wirksamen Interessenvertretung im Asylverfahren im Einzelfall notwendig sein, wobei der Entscheid über die Notwendigkeit jedoch der zugewiesenen Rechtsvertretung obliegt (vgl. auch Pflichtenheft SEM zum Projekt (18108) 420 Beratung und Rechtsvertretung in den Bundesasylzentren vom 18. Juni 2018, Ziff. 4.1 Bst. c: «Bei Bedarf Begleitung der asylsuchenden Person zum Dublin-Gespräch im Sinn von Art. 5 der Verordnung (EU) Nr. 604/2013»; online einsehbar auf www.simap.ch) und die Nicht-Teilnahme der Rechtsvertretung bei rechtzeitiger Mitteilung des Termins die Rechtswirkung der Verfahrensschritte nicht hemmt (vgl. Art. 102j Abs. 2 AsylG; oben E. 5.1; auch Urteile des BVGer E-5608/2022 vom 31. Mai 2023 E. 5.4; D-221/2023 vom 8. März 2023 E. 3.5).</w:t>
      </w:r>
    </w:p>
    <w:p>
      <w:r>
        <w:rPr>
          <w:b/>
        </w:rPr>
        <w:t>E. 4.3</w:t>
      </w:r>
    </w:p>
    <w:p>
      <w:r>
        <w:t>Aufgrund der Aktenlage ist festzustellen, dass der zuständige Sachbearbeiter des SEM die Beschwerdeführerin zu Beginn des Dublin-Gesprächs darüber in Kenntnis setzte, dass ihre Rechtsvertretung aus Kapazitätsgründen nicht am Gespräch teilnehme (vgl. SEM-Akte 13), obschon die Vorladung zum Dublin-Gespräch an die Beschwerdeführerin und nicht an die Rechtsvertretung adressiert ist (vgl. SEM-Akte 11). Auch den übrigen Akten ist keine korrekte und rechtzeitige Mitteilung des Termins an die zugewiesene Rechtsvertretung zu entnehmen. Der Vollständigkeit halber bleibt festzuhalten, dass das SEM - trotz anderslautender Ankündigung (vgl. SEM-Akte 13) - auch das Protokoll des Dublin-Gesprächs der zugewiesenen Rechtsvertretung vor Erlass des Nichteintretensentscheids nicht zustellte und der Beschwerdeführerin keine Möglichkeit zur Stellungnahme bot.</w:t>
      </w:r>
    </w:p>
    <w:p>
      <w:r>
        <w:rPr>
          <w:b/>
        </w:rPr>
        <w:t>E. 4.4</w:t>
      </w:r>
    </w:p>
    <w:p>
      <w:r>
        <w:t>Nach dem zuvor Dargelegten hat das SEM den Anspruch der Beschwerdeführerin auf rechtliches Gehör verletzt. Dementsprechend kann auch der rechtserhebliche Sachverhalt nicht als vollständig und richtig erstellt gelten. Der vorliegend festgestellte Verfahrensfehler wiegt schwer und eine Heilung fällt ausser Betracht. Das SEM ist demzufolge anzuweisen, der Beschwerdeführerin eine neue Rechtsvertretung zuzuweisen, sie unter Wahrung ihrer Verfahrensrechte erneut zu befragen und unter vollständiger und richtiger Feststellung des rechtserheblichen Sachverhaltes neu zu entscheiden. Angesichts der Rückweisung der Sache erübrigt sich eine Auseinandersetzung mit den weiteren Vorbringen auf Beschwerdeebene, weil das Beschwerdedossier ebenfalls Gegenstand des wiederaufzunehmenden erstinstanzlichen Verfahrens sein und das SEM sich damit zu befassen haben wird.</w:t>
      </w:r>
    </w:p>
    <w:p>
      <w:r>
        <w:rPr>
          <w:b/>
        </w:rPr>
        <w:t>E. 5</w:t>
      </w:r>
    </w:p>
    <w:p>
      <w:r>
        <w:t>Nach dem Gesagten ist die Beschwerde, soweit darauf einzutreten ist, insofern gutzuheissen, als die angefochtene Verfügung aufzuheben und die Sache zur Behebung der festgestellten Mängel sowie zur Neubeurteilung an das SEM zurückzuweisen ist. Das Gesuch um Erteilung der aufschiebenden Wirkung der Beschwerde ist mit dem vorliegenden Urteil gegenstandslos geworden.</w:t>
      </w:r>
    </w:p>
    <w:p>
      <w:r>
        <w:rPr>
          <w:b/>
        </w:rPr>
        <w:t>E. 6.1</w:t>
      </w:r>
    </w:p>
    <w:p>
      <w:r>
        <w:t>Bei diesem Ausgang des Verfahrens sind keine Verfahrenskosten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(Art. 7 ff. des Reglements über die Kosten und Entschädigungen vor dem Bundesverwaltungsgericht vom 21. Februar 2008 [VGKE, SR 173.320.2]). Die Beschwerdeführerin hat zwar eine Vertretungsvollmacht zu den Akten gereicht (vgl. Prozessgeschichte, Bst. I.), die Eingaben erfolgten aber allesamt in eigenem Namen. Dessen ungeachtet ist die Fotokopie einer Vertretungsvollmacht nicht als hinreichender Nachweis für ein Vertretungsverhältnis zu erachten. Die Beschwerdeführerin macht keine notwendigen Auslagen im Sinne von Art. 13 VGKE geltend. Auf die Ausrichtung einer Parteientschädigung ist deshalb zu verzichten.</w:t>
      </w:r>
    </w:p>
    <w:p>
      <w:r>
        <w:rPr>
          <w:b/>
        </w:rPr>
        <w:t>E. 6.3</w:t>
      </w:r>
    </w:p>
    <w:p>
      <w:r>
        <w:t>Die Gesuche um Gewährung der unentgeltlichen Prozessführung, um Verzicht auf die Erhebung eines Kostenvorschusses und um Beiordnung eines amtlichen Rechtsbeistandes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