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D-3446/2025 vom 19. Mai 2025</w:t>
      </w:r>
    </w:p>
    <w:p>
      <w:r>
        <w:t>Bundesverwaltungsgericht, 2025-05-19, FR</w:t>
      </w:r>
    </w:p>
    <w:p>
      <w:r>
        <w:rPr>
          <w:b/>
        </w:rPr>
        <w:t xml:space="preserve">Quelle: </w:t>
      </w:r>
      <w:r>
        <w:t>https://mcp.opencaselaw.ch/entscheid/bvger_D-3446_2025</w:t>
      </w:r>
    </w:p>
    <w:p>
      <w:r>
        <w:t>FR: TAF D-3446/2025 du 19 mai 2025</w:t>
      </w:r>
    </w:p>
    <w:p>
      <w:r>
        <w:t>IT: TAF D-3446/2025 del 19 maggio 2025</w:t>
      </w:r>
    </w:p>
    <w:p>
      <w:pPr>
        <w:pStyle w:val="Heading2"/>
      </w:pPr>
      <w:r>
        <w:t>Regeste</w:t>
      </w:r>
    </w:p>
    <w:p>
      <w:r>
        <w:t>Asile et renvoi</w:t>
      </w:r>
    </w:p>
    <w:p>
      <w:pPr>
        <w:pStyle w:val="Heading2"/>
      </w:pPr>
      <w:r>
        <w:t>Erwägungen</w:t>
      </w:r>
    </w:p>
    <w:p>
      <w:r>
        <w:rPr>
          <w:b/>
        </w:rPr>
        <w:t>E. 25</w:t>
      </w:r>
    </w:p>
    <w:p>
      <w:r>
        <w:t>juin 2020 consid. 7.3.1.2 ; D-2909/2018 du 1er mai 2020 consid. 12.5.3), que dans ce contexte, il appartiendra aux thérapeutes de préparer le recourant à la perspective de son retour au pays et, si des menaces auto-agressives devaient à nouveau apparaître au moment de l’organisation du départ de Suisse, il appartiendrait également à ceux-ci, respectivement aux autorités chargées de l’exécution du renvoi, de prévoir des mesures concrètes pour en prévenir la réalisation,</w:t>
      </w:r>
    </w:p>
    <w:p>
      <w:r>
        <w:t>D-3446/2025 Page 9 que cela étant, le recourant bénéficie d’autres facteurs favorables à sa réinstallation en Tunisie, qu’il est jeune, a exercé dans cet Etat une activité professionnelle dans le domaine de (...) durant les quatre ans précédant son départ, possède également une formation de (...) et dispose d’un large réseau familial dans ce pays, que l'exécution du renvoi est enfin possible (art. 83 al. 2 LEI ;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totale doit être rejetée, les conclusions du recours étant d’emblée vouées à l’échec (art. 102m al. 1 et 4 LAsi en relation avec l’art. 65 al. 1 PA), que, vu l'issue de la cause, il y a lieu de mettre les frais de procédure à la charge du recourant, conformément à aux art. 63 al. 1 PA ainsi que 2 et 3 du règlement du 21 février 2008 concernant les frais, dépens et indemnités fixés par le Tribunal administratif fédéral (FITAF, RS 173.320.2), que la demande d’exemption du paiement de l’avance de frais est sans objet,</w:t>
      </w:r>
    </w:p>
    <w:p>
      <w:r>
        <w:t>D-3446/2025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