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D-3445/2013 vom 2. Juli 2013</w:t>
      </w:r>
    </w:p>
    <w:p>
      <w:r>
        <w:t>Bundesverwaltungsgericht, 2013-07-02, IT</w:t>
      </w:r>
    </w:p>
    <w:p>
      <w:r>
        <w:rPr>
          <w:b/>
        </w:rPr>
        <w:t xml:space="preserve">Quelle: </w:t>
      </w:r>
      <w:r>
        <w:t>https://mcp.opencaselaw.ch/entscheid/bvger_D-3445_2013</w:t>
      </w:r>
    </w:p>
    <w:p>
      <w:r>
        <w:t>FR: TAF D-3445/2013 du 2 juillet 2013</w:t>
      </w:r>
    </w:p>
    <w:p>
      <w:r>
        <w:t>IT: TAF D-3445/2013 del 2 luglio 2013</w:t>
      </w:r>
    </w:p>
    <w:p>
      <w:pPr>
        <w:pStyle w:val="Heading2"/>
      </w:pPr>
      <w:r>
        <w:t>Regeste</w:t>
      </w:r>
    </w:p>
    <w:p>
      <w:r>
        <w:t>Asilo (non entrata nel merito / nuova procedura d'asilo per la Svizzera)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