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D-3444/2016 vom 19. Juni 2017</w:t>
      </w:r>
    </w:p>
    <w:p>
      <w:r>
        <w:t>Bundesverwaltungsgericht, 2017-06-19, DE</w:t>
      </w:r>
    </w:p>
    <w:p>
      <w:r>
        <w:rPr>
          <w:b/>
        </w:rPr>
        <w:t xml:space="preserve">Quelle: </w:t>
      </w:r>
      <w:r>
        <w:t>https://mcp.opencaselaw.ch/entscheid/bvger_D-3444_2016</w:t>
      </w:r>
    </w:p>
    <w:p>
      <w:r>
        <w:t>FR: TAF D-3444/2016 du 19 juin 2017</w:t>
      </w:r>
    </w:p>
    <w:p>
      <w:r>
        <w:t>IT: TAF D-3444/2016 del 19 giugno 2017</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des Gerichts grundsätzlich auf die Frage beschränkt, ob das SEM zu Recht auf das Asylgesuch nicht eingetreten ist (vgl. BVGE 2012/4 E. 2.2 m.w.H.)</w:t>
      </w:r>
    </w:p>
    <w:p>
      <w:r>
        <w:rPr>
          <w:b/>
        </w:rPr>
        <w:t>E. 1.5</w:t>
      </w:r>
    </w:p>
    <w:p>
      <w:r>
        <w:t>Der Beschwerdeführer ist legitimiert (Art. 48 Abs. 1 VwVG) und seine Eingabe erweist sich als frist- und formgerecht (Art. 108 Abs. 2 AsylG; Art. 52 Abs. 1 VwVG), womit auf die Beschwerde einzutreten ist.</w:t>
      </w:r>
    </w:p>
    <w:p>
      <w:r>
        <w:rPr>
          <w:b/>
        </w:rPr>
        <w:t>E. 1.6</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2.1</w:t>
      </w:r>
    </w:p>
    <w:p>
      <w:r>
        <w:t>Das Bundesverwaltungsgericht hat im Urteil D-7853/2015 vom 31. Mai 2017 (zur Publikation als Referenzurteil vorgesehen) eingehend die Entwicklung der Situation für Asylsuchende in Ungarn, insbesondere für jene, die in Anwendung der Dublin-III-VO nach Ungarn überstellt werden, analysiert. Dabei hat das Gericht das Vorhandensein zahlreicher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insbesondere E. 13).</w:t>
      </w:r>
    </w:p>
    <w:p>
      <w:r>
        <w:rPr>
          <w:b/>
        </w:rPr>
        <w:t>E. 2.2</w:t>
      </w:r>
    </w:p>
    <w:p>
      <w:r>
        <w:t>Aus den gleichen Gründen, wie im vorgenannten Referenzurteil beschrieben, ist es dem Gericht auch vorliegend nicht möglich, die Sache abschliessend zu beurteilen. Die angefochtene Verfügung ist dementsprechend aufzuheben und die Sache zur vollständigen Sachverhaltsfeststellung sowie zu neuer Entscheidung ans SEM zurückzuweisen. Die Beschwerde ist demnach gutzuheissen, ohne dass auf die Beschwerdevorbringen im Einzelnen eingegangen werden müsste.</w:t>
      </w:r>
    </w:p>
    <w:p>
      <w:r>
        <w:rPr>
          <w:b/>
        </w:rPr>
        <w:t>E. 3.1</w:t>
      </w:r>
    </w:p>
    <w:p>
      <w:r>
        <w:t>Bei diesem Ausgang des Verfahrens sind keine Kosten zu erheben (Art. 63 Abs. 1-3 VwVG).</w:t>
      </w:r>
    </w:p>
    <w:p>
      <w:r>
        <w:rPr>
          <w:b/>
        </w:rPr>
        <w:t>E. 3.2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Von der Rechtsvertreterin des Beschwerdeführers wurde keine Kostennote eingereicht, auf die Nachforderung einer solchen kann jedoch verzichtet werden (Art. 14 Abs. 2 VGKE), da sich der sachlich notwendige Aufwand für die Beschwerdeführung abschätzen lässt. Nach dem Gesagten ist die Parteientschädigung aufgrund der Aktenlage und der massgeblichen Bemessungsfaktoren (Art. 8-13 VGKE) von Amtes wegen auf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